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D67BC" w:rsidRDefault="00EB3263">
      <w:pPr>
        <w:pStyle w:val="Titel"/>
      </w:pPr>
      <w:bookmarkStart w:id="0" w:name="_GoBack"/>
      <w:bookmarkEnd w:id="0"/>
      <w:r>
        <w:t>A comparative study of total organic carbon-δ</w:t>
      </w:r>
      <w:r>
        <w:rPr>
          <w:vertAlign w:val="superscript"/>
        </w:rPr>
        <w:t>13</w:t>
      </w:r>
      <w:r>
        <w:t>C isotope signatures in the Triassic–Jurassic transitional beds of the Central European Basin and western Tethys shelf seas</w:t>
      </w:r>
    </w:p>
    <w:p w:rsidR="006D67BC" w:rsidRDefault="00EB3263">
      <w:pPr>
        <w:pStyle w:val="Author"/>
      </w:pPr>
      <w:r>
        <w:t>Martin Schobben</w:t>
      </w:r>
      <w:r>
        <w:rPr>
          <w:rStyle w:val="Funotenzeichen"/>
        </w:rPr>
        <w:footnoteReference w:id="1"/>
      </w:r>
      <w:r>
        <w:t>,</w:t>
      </w:r>
      <w:r>
        <w:rPr>
          <w:rStyle w:val="Funotenzeichen"/>
        </w:rPr>
        <w:footnoteReference w:id="2"/>
      </w:r>
      <w:r>
        <w:t xml:space="preserve"> Julia Gravendyck</w:t>
      </w:r>
      <w:r>
        <w:rPr>
          <w:rStyle w:val="Funotenzeichen"/>
        </w:rPr>
        <w:footnoteReference w:id="3"/>
      </w:r>
      <w:r>
        <w:t>, Franziska Mangels</w:t>
      </w:r>
      <w:r>
        <w:rPr>
          <w:vertAlign w:val="superscript"/>
        </w:rPr>
        <w:t>1</w:t>
      </w:r>
      <w:r>
        <w:t>, Ulrich Struck</w:t>
      </w:r>
      <w:r>
        <w:rPr>
          <w:vertAlign w:val="superscript"/>
        </w:rPr>
        <w:t>1</w:t>
      </w:r>
      <w:r>
        <w:t>,</w:t>
      </w:r>
      <w:r>
        <w:rPr>
          <w:rStyle w:val="Funotenzeichen"/>
        </w:rPr>
        <w:footnoteReference w:id="4"/>
      </w:r>
      <w:r>
        <w:t xml:space="preserve"> Robert </w:t>
      </w:r>
      <w:r>
        <w:t>Bussert</w:t>
      </w:r>
      <w:r>
        <w:rPr>
          <w:rStyle w:val="Funotenzeichen"/>
        </w:rPr>
        <w:footnoteReference w:id="5"/>
      </w:r>
      <w:r>
        <w:t>, Wolfram M. Kürschner</w:t>
      </w:r>
      <w:r>
        <w:rPr>
          <w:rStyle w:val="Funotenzeichen"/>
        </w:rPr>
        <w:footnoteReference w:id="6"/>
      </w:r>
      <w:r>
        <w:t>, Dieter Korn</w:t>
      </w:r>
      <w:r>
        <w:rPr>
          <w:vertAlign w:val="superscript"/>
        </w:rPr>
        <w:t>1</w:t>
      </w:r>
      <w:r>
        <w:t>, P. Martin Sander</w:t>
      </w:r>
      <w:r>
        <w:rPr>
          <w:rStyle w:val="Funotenzeichen"/>
        </w:rPr>
        <w:footnoteReference w:id="7"/>
      </w:r>
      <w:r>
        <w:t>, Martin Aberhan</w:t>
      </w:r>
      <w:r>
        <w:rPr>
          <w:vertAlign w:val="superscript"/>
        </w:rPr>
        <w:t>1</w:t>
      </w:r>
    </w:p>
    <w:p w:rsidR="006D67BC" w:rsidRDefault="00EB3263">
      <w:pPr>
        <w:pStyle w:val="Abstract"/>
      </w:pPr>
      <w:r>
        <w:lastRenderedPageBreak/>
        <w:t>Stratigraphic studies are an integral component in understanding the chronology of events that led to the end-Triassic mass extinction, by resolving causal relationships betw</w:t>
      </w:r>
      <w:r>
        <w:t>een environmental upheavals and biotic response. Successful correlation of Triassic–Jurassic (Tr–J) successions is complicated by the disappearance of macro-fossils that are otherwise central components in stratigraphic studies. This problem is exacerbated</w:t>
      </w:r>
      <w:r>
        <w:t xml:space="preserve"> in multiple Tr–J sections situated in Europe, where the so-called “Event Beds”—assumed to demarcate the extinction interval—are virtually devoid of fossils. An alternative stratigraphic approach entails the reconstruction of carbon isotope records, where </w:t>
      </w:r>
      <w:r>
        <w:t>stratigraphic fluctuations in carbon isotope composition are considered to track changes in the global biogeochemical carbon cycle. The predominance of carbonate-lean sections has prompted the reconstruction of total organic carbon (TOC)-based carbon isoto</w:t>
      </w:r>
      <w:r>
        <w:t>pe records. However, bulk rock derived TOC is the diagenetically stabilized remnant of organic components that accumulated on the sea floor, and which can originate from multiple sources. In this study, we assess long-term TOC-based carbon isotope trends a</w:t>
      </w:r>
      <w:r>
        <w:t xml:space="preserve">t two sites; Bonenburg (Central European Basin) and Kuhjoch (the Tr–J Global Stratotype Section and Point; western Tethys shelf seas). We focus on the TOC </w:t>
      </w:r>
      <w:r>
        <w:rPr>
          <w:vertAlign w:val="superscript"/>
        </w:rPr>
        <w:t>13</w:t>
      </w:r>
      <w:r>
        <w:t>C-enrichment of the Event Beds with the aim of deciphering stratigraphic fluctuations in relation t</w:t>
      </w:r>
      <w:r>
        <w:t xml:space="preserve">o their main driver (the exogenic carbon pool versus organic matter source changes). By studying the systematic co-variance of several sedimentary parameters (TOC, total nitrogen [TN], and the palynomorph composition), we infer that the TOC composition is </w:t>
      </w:r>
      <w:r>
        <w:t>possibly characterised by insignificant organic matter source changes in terms of the marine and terrestrial organic carbon contributions. By contrast, a clay mineralogical shift to more K-depleted minerals as well as the elevated occurrence of wood fragme</w:t>
      </w:r>
      <w:r>
        <w:t>nts in the Event Beds suggest a terrestrial organic matter source shift from immature substrates to substrates predominated by “pre-aged” or “fossil organic matter” under a changing continental weathering regime. This outcome urges for reservations when in</w:t>
      </w:r>
      <w:r>
        <w:t>terpreting TOC-based carbon isotope records in terms of global C-cycle perturbations, especially when coinciding with lithological and mineralogical changes. On a more positive note, the shift towards positive carbon isotope values appears to be a recurrin</w:t>
      </w:r>
      <w:r>
        <w:t>g feature, possibly testifying to a globally significant climate-controlled weathering regime shift.</w:t>
      </w:r>
      <w:r>
        <w:br/>
      </w:r>
      <w:r>
        <w:rPr>
          <w:b/>
        </w:rPr>
        <w:t>Keywords</w:t>
      </w:r>
      <w:r>
        <w:t>: carbon cycle, palynostratigraphy, chemostratigraphy, mass extinction, weathering</w:t>
      </w:r>
    </w:p>
    <w:p w:rsidR="006D67BC" w:rsidRDefault="00EB3263">
      <w:pPr>
        <w:pStyle w:val="berschrift5"/>
      </w:pPr>
      <w:bookmarkStart w:id="1" w:name="page-break"/>
      <w:bookmarkEnd w:id="1"/>
      <w:r>
        <w:t>Page Break</w:t>
      </w:r>
    </w:p>
    <w:p w:rsidR="006D67BC" w:rsidRDefault="00EB3263">
      <w:pPr>
        <w:pStyle w:val="berschrift1"/>
      </w:pPr>
      <w:bookmarkStart w:id="2" w:name="introduction"/>
      <w:bookmarkEnd w:id="2"/>
      <w:r>
        <w:t>Introduction</w:t>
      </w:r>
    </w:p>
    <w:p w:rsidR="006D67BC" w:rsidRDefault="00EB3263">
      <w:pPr>
        <w:pStyle w:val="FirstParagraph"/>
      </w:pPr>
      <w:r>
        <w:t xml:space="preserve">The Late Triassic interval is signified </w:t>
      </w:r>
      <w:r>
        <w:t>by dramatic faunal and floral turnovers on a backdrop of environmental and climatic change (McElwain et al. 1999, Whiteside et al. 2007, 2010, {van de Schootbrugge} et al. 2009, Ruhl et al. 2011, Blumenberg et al. 2016). Contemporaneous intense magmatic ac</w:t>
      </w:r>
      <w:r>
        <w:t>tivity, known as the Central Atlantic Magmatic Province, has been identified as a potential trigger for these perturbations (e.g. Marzoli et al. 2018). Although being one of the “Big Five” mass extinctions (Raup &amp; Sepkoski 1982), the severity and abruptnes</w:t>
      </w:r>
      <w:r>
        <w:t>s of the biodiversity depletion is contested by some authors (e.g. Tanner et al. 2004). Nevertheless, there is evidence of globally elevated latest Triassic extinction rates of benthic organisms (Kiessling et al. 2007), severely disturbed reef ecosystems (</w:t>
      </w:r>
      <w:r>
        <w:t>Dunhill et al. 2017), selective extinction among hypercalcifying organisms (Hönisch et al. 2012), and a turnover of phytoplankton, marine reptiles, and temnospondyl amphibians (</w:t>
      </w:r>
      <w:r>
        <w:rPr>
          <w:b/>
        </w:rPr>
        <w:t>???</w:t>
      </w:r>
      <w:r>
        <w:t>, {van de Schootbrugge} et al. 2007, Wintrich et al. 2017). These factors al</w:t>
      </w:r>
      <w:r>
        <w:t>together rank the event as a pivotal moment in Earth history, which defined the course of evolution and helped shape present-day ecosystems.</w:t>
      </w:r>
    </w:p>
    <w:p w:rsidR="006D67BC" w:rsidRDefault="00EB3263">
      <w:pPr>
        <w:pStyle w:val="Textkrper"/>
      </w:pPr>
      <w:r>
        <w:t>Robust stratigraphic frameworks are a necessity to resolve the complex interplay of these environmental changes and</w:t>
      </w:r>
      <w:r>
        <w:t xml:space="preserve"> consequential biotic responses. Ammonite biozones are used as the official definition for the base of the Jurassic system ({von Hillebrandt} et al. 2013). Palynostratigraphy is an alternative correlative tool, which has been successfully applied in certai</w:t>
      </w:r>
      <w:r>
        <w:t>n basins (Kuerschner et al. 2007, Bonis et al. 2009). Over the last decades, carbon isotope chemostratigraphy has increasingly gained in importance as the basis for global correlative schemes that link individual Tr–J boundary sections (</w:t>
      </w:r>
      <w:r>
        <w:rPr>
          <w:b/>
        </w:rPr>
        <w:t>???</w:t>
      </w:r>
      <w:r>
        <w:t>, Hesselbo et al</w:t>
      </w:r>
      <w:r>
        <w:t>. 2002, Guex et al. 2004, Kuerschner et al. 2007, Ruhl et al. 2009, Bachan et al. 2012, Yager et al. 2017).</w:t>
      </w:r>
    </w:p>
    <w:p w:rsidR="006D67BC" w:rsidRDefault="00EB3263">
      <w:pPr>
        <w:pStyle w:val="Textkrper"/>
      </w:pPr>
      <w:r>
        <w:t>Many studies have focused on pronounced negative shifts in the carbon isotope composition of organic matter, postulating a sudden marine productivit</w:t>
      </w:r>
      <w:r>
        <w:t>y collapse, climate-driven methane hydrate dissociation and volcanism-derived CO</w:t>
      </w:r>
      <w:r>
        <w:rPr>
          <w:vertAlign w:val="subscript"/>
        </w:rPr>
        <w:t>2</w:t>
      </w:r>
      <w:r>
        <w:t xml:space="preserve"> as possible triggers for these isotopic signatures (</w:t>
      </w:r>
      <w:r>
        <w:rPr>
          <w:b/>
        </w:rPr>
        <w:t>???</w:t>
      </w:r>
      <w:r>
        <w:t xml:space="preserve">, Hesselbo et al. 2002, Whiteside et al. 2010, Ruhl et al. 2011, Yager et al. 2017). Some authors have also focused on </w:t>
      </w:r>
      <w:r>
        <w:t>positive carbon isotope excursions observed in sedimentary total organic carbon (TOC) and carbonate rock (Bachan et al. 2012, Yager et al. 2017). The signal-to-noise ratio is low, however, and although compound-specific C isotope analyses confirm a perturb</w:t>
      </w:r>
      <w:r>
        <w:t>ation of the atmosphere–ocean system (Whiteside et al. 2010, Ruhl et al. 2011), noisy records might preclude the faithful recognition of a globally contemporaneous signal (Lindström et al. 2017b). For instance, organic matter source changes might significa</w:t>
      </w:r>
      <w:r>
        <w:t>ntly contribute to stratigraphic fluctuations in TOC-based carbon isotope curves and obscure the recognition of signals forced by the exogenic carbon reservoir (</w:t>
      </w:r>
      <w:r>
        <w:rPr>
          <w:b/>
        </w:rPr>
        <w:t>???</w:t>
      </w:r>
      <w:r>
        <w:t>, Arthur et al. 1985, {van de Schootbrugge} et al. 2008). Moreover, high-amplitude sea level</w:t>
      </w:r>
      <w:r>
        <w:t xml:space="preserve"> fluctuations are a prominent feature of this time interval, which might have caused condensation and sedimentation breaks (Hallam 1981, Hallam &amp; Wignall 1999, Hesselbo et al. (2004)), but could also lead to extensive reworking of land-derived sedimentary </w:t>
      </w:r>
      <w:r>
        <w:t>organic material (Bachan et al. 2012).</w:t>
      </w:r>
    </w:p>
    <w:p w:rsidR="006D67BC" w:rsidRDefault="00EB3263">
      <w:pPr>
        <w:pStyle w:val="Textkrper"/>
      </w:pPr>
      <w:r>
        <w:t>A disproportional number of well-studied Tr–J transitional beds are located in Europe (</w:t>
      </w:r>
      <w:r>
        <w:rPr>
          <w:b/>
        </w:rPr>
        <w:t>???</w:t>
      </w:r>
      <w:r>
        <w:t>, e.g. Jüngst 1928, Morbey 1975, Lund 1977, Kuerschner et al. 2007, Bonis et al. 2009, 2010, Heunisch et al. 2010, Lindström et</w:t>
      </w:r>
      <w:r>
        <w:t xml:space="preserve"> al. 2017b, Barth et al. (2018)), hence these sites form an excellent basis to test the ubiquity of C isotope signals based on TOC. In addition, correlative schemes based on lithology, macro-fossils and palynomorph assemblages provide an independent strati</w:t>
      </w:r>
      <w:r>
        <w:t>graphic framework ({von Hillebrandt} et al. 2013, Lindström et al. 2017b, Barth et al. 2018).</w:t>
      </w:r>
    </w:p>
    <w:p w:rsidR="006D67BC" w:rsidRDefault="00EB3263">
      <w:pPr>
        <w:pStyle w:val="Textkrper"/>
      </w:pPr>
      <w:r>
        <w:t>Many of the European sites exhibit marked lithological changes, with a progradational unit just before the ammonite-defined system boundary that recurs at many lo</w:t>
      </w:r>
      <w:r>
        <w:t>calities (Hallam 1981, Hallam &amp; Wignall 1999, Lindström et al. 2017b). Total organic carbon of this lithological unit is accompanied by pronounced higher carbon isotope values in comparison to the bracketing strata. We deem it necessary to better resolve t</w:t>
      </w:r>
      <w:r>
        <w:t>he organic matter sources of the transitional beds by improving our understanding of the sedimentological and mineralogical characteristics of these lithological units. By not only studying the so-called Event Beds (Lindström et al. 2017b) but also the bra</w:t>
      </w:r>
      <w:r>
        <w:t>cketing intervals, placed within a wider geographic context, we try to identify general patterns in the stratigraphic record of the TOC-based C isotopes and to separate the effects of variations in local organic matter sources and global contributions of t</w:t>
      </w:r>
      <w:r>
        <w:t>he exogenic carbon pool.</w:t>
      </w:r>
    </w:p>
    <w:p w:rsidR="006D67BC" w:rsidRDefault="00EB3263">
      <w:pPr>
        <w:pStyle w:val="berschrift1"/>
      </w:pPr>
      <w:bookmarkStart w:id="3" w:name="geological-setting"/>
      <w:bookmarkEnd w:id="3"/>
      <w:r>
        <w:t>Geological setting</w:t>
      </w:r>
    </w:p>
    <w:p w:rsidR="006D67BC" w:rsidRDefault="00EB3263">
      <w:pPr>
        <w:pStyle w:val="berschrift2"/>
      </w:pPr>
      <w:bookmarkStart w:id="4" w:name="palaeogeography-of-the-central-european-"/>
      <w:bookmarkEnd w:id="4"/>
      <w:r>
        <w:t>Palaeogeography of the Central European Basin and the western Tethys shelf seas</w:t>
      </w:r>
    </w:p>
    <w:p w:rsidR="006D67BC" w:rsidRDefault="00EB3263">
      <w:pPr>
        <w:pStyle w:val="FirstParagraph"/>
      </w:pPr>
      <w:r>
        <w:t>During the Late Triassic the area that comprises the modern contours of Europe was situated at temperate latitudes (between 30°N and</w:t>
      </w:r>
      <w:r>
        <w:t xml:space="preserve"> 50°N) and was largely covered by shallow epicontinental seas from which few scattered continental blocks, such as the Rhenish Massif, Bohemian Massif and the Fennoscandian High emerged (Fig 1).</w:t>
      </w:r>
    </w:p>
    <w:p w:rsidR="006D67BC" w:rsidRDefault="00EB3263">
      <w:pPr>
        <w:pStyle w:val="Compact"/>
      </w:pPr>
      <w:r>
        <w:rPr>
          <w:noProof/>
        </w:rPr>
        <w:drawing>
          <wp:inline distT="0" distB="0" distL="0" distR="0">
            <wp:extent cx="3810000" cy="2540000"/>
            <wp:effectExtent l="0" t="0" r="0" b="0"/>
            <wp:docPr id="1" name="Picture" descr="Geographic reconstruction of the Central European Basin and western Tethys shelf seas: 1-Kuhjoch, 2-Hochalplgraben, 3-Kendlbachgraben, 4-Tiefengraben, 5-Restentalgraben, 6-Mingolsheim, 7-Mariental, 8-Schandelah, 9-Bonenburg and 10-Stenlille."/>
            <wp:cNvGraphicFramePr/>
            <a:graphic xmlns:a="http://schemas.openxmlformats.org/drawingml/2006/main">
              <a:graphicData uri="http://schemas.openxmlformats.org/drawingml/2006/picture">
                <pic:pic xmlns:pic="http://schemas.openxmlformats.org/drawingml/2006/picture">
                  <pic:nvPicPr>
                    <pic:cNvPr id="0" name="Picture" descr="figures/Fig1_rev.tif"/>
                    <pic:cNvPicPr>
                      <a:picLocks noChangeAspect="1" noChangeArrowheads="1"/>
                    </pic:cNvPicPr>
                  </pic:nvPicPr>
                  <pic:blipFill>
                    <a:blip r:embed="rId8"/>
                    <a:stretch>
                      <a:fillRect/>
                    </a:stretch>
                  </pic:blipFill>
                  <pic:spPr bwMode="auto">
                    <a:xfrm>
                      <a:off x="0" y="0"/>
                      <a:ext cx="3810000" cy="2540000"/>
                    </a:xfrm>
                    <a:prstGeom prst="rect">
                      <a:avLst/>
                    </a:prstGeom>
                    <a:noFill/>
                    <a:ln w="9525">
                      <a:noFill/>
                      <a:headEnd/>
                      <a:tailEnd/>
                    </a:ln>
                  </pic:spPr>
                </pic:pic>
              </a:graphicData>
            </a:graphic>
          </wp:inline>
        </w:drawing>
      </w:r>
    </w:p>
    <w:p w:rsidR="006D67BC" w:rsidRDefault="00EB3263">
      <w:pPr>
        <w:pStyle w:val="Compact"/>
      </w:pPr>
      <w:r>
        <w:t>Fig. 1. Geographic reconstruction of the Central European B</w:t>
      </w:r>
      <w:r>
        <w:t>asin and western Tethys shelf seas: 1-Kuhjoch, 2-Hochalplgraben, 3-Kendlbachgraben, 4-Tiefengraben, 5-Restentalgraben, 6-Mingolsheim, 7-Mariental, 8-Schandelah, 9-Bonenburg and 10-Stenlille.</w:t>
      </w:r>
    </w:p>
    <w:p w:rsidR="006D67BC" w:rsidRDefault="00EB3263">
      <w:pPr>
        <w:pStyle w:val="Textkrper"/>
      </w:pPr>
      <w:r>
        <w:t>Important depocenters of these shallow seas were located in the C</w:t>
      </w:r>
      <w:r>
        <w:t>entral European Basin (CEB) and the western Tethyan shelf seas, which appear to have been structurally connected (</w:t>
      </w:r>
      <w:r>
        <w:rPr>
          <w:b/>
        </w:rPr>
        <w:t>???</w:t>
      </w:r>
      <w:r>
        <w:t>, Barth et al. 2018). Well-studied Tr–J sections of the western Tethyan shelf are mainly known from the intracratonic Kössen and Eiberg Bas</w:t>
      </w:r>
      <w:r>
        <w:t>ins. One of these sites, the Kuhjoch section, has been assigned as the Global Stratotype Section and Point (GSSP) for the base of the Jurassic System ({von Hillebrandt} et al. 2013). In NW Europe, relatively larger parts of the Tr–J boundary succession are</w:t>
      </w:r>
      <w:r>
        <w:t xml:space="preserve"> likely missing or highly condensed ({van de Schootbrugge} et al. 2008, Lindström et al. 2017b).</w:t>
      </w:r>
    </w:p>
    <w:p w:rsidR="006D67BC" w:rsidRDefault="00EB3263">
      <w:pPr>
        <w:pStyle w:val="berschrift2"/>
      </w:pPr>
      <w:bookmarkStart w:id="5" w:name="general-lithology-of-the-central-europea"/>
      <w:bookmarkEnd w:id="5"/>
      <w:r>
        <w:t>General lithology of the Central European Basin and the western Tethys shelf seas</w:t>
      </w:r>
    </w:p>
    <w:p w:rsidR="006D67BC" w:rsidRDefault="00EB3263">
      <w:pPr>
        <w:pStyle w:val="FirstParagraph"/>
      </w:pPr>
      <w:r>
        <w:t xml:space="preserve">A Rhaetian transgression induced deposition of shales and deltaic sandstones </w:t>
      </w:r>
      <w:r>
        <w:t>of the Contorta Beds along the north-western half of the CEB, replacing terrestrial lithologies. The Fennoscandian High and the Bohemian Massif are considered the main contributors of detrital sediment input (</w:t>
      </w:r>
      <w:r>
        <w:rPr>
          <w:b/>
        </w:rPr>
        <w:t>???</w:t>
      </w:r>
      <w:r>
        <w:t>, Fischer et al. 2012, Barth et al. 2018). D</w:t>
      </w:r>
      <w:r>
        <w:t>uring the same interval, the western margin of the Tethys Ocean experienced increased siliciclastic sedimentation which reduced the areal extent of previous extensive carbonate platforms (Hauptdolomit Formation/Dachstein Formation) (Hallam 1981, Krystyn et</w:t>
      </w:r>
      <w:r>
        <w:t xml:space="preserve"> al. 2005, {von Hillebrandt} et al. 2013). Mixed carbonate and siliciclastic sedimentation (Kössen Formation) continued in intracratonic depressions, such as the Kössen and the Eiberg Basins, which were bordered by reefs at the northern boundary and the so</w:t>
      </w:r>
      <w:r>
        <w:t>uthern seaward shelf edge (Oberrhät Limestone). Peak occurrences of marine palynomorphs indicate a Late Triassic sea level highstand in the CEB (</w:t>
      </w:r>
      <w:r>
        <w:rPr>
          <w:b/>
        </w:rPr>
        <w:t>???</w:t>
      </w:r>
      <w:r>
        <w:t>, Hallam &amp; Wignall 1999, Barth et al. 2018). In the Eiberg Basin, this interval marks a lithological change,</w:t>
      </w:r>
      <w:r>
        <w:t xml:space="preserve"> with a distinct dark and bituminous layer, the so-called “T-Bed” (Krystyn et al. 2005, Ruhl et al. 2010).</w:t>
      </w:r>
    </w:p>
    <w:p w:rsidR="006D67BC" w:rsidRDefault="00EB3263">
      <w:pPr>
        <w:pStyle w:val="Textkrper"/>
      </w:pPr>
      <w:r>
        <w:t xml:space="preserve">A subsequent global sea level fall exposed many marine sections around the world (Hallam 1981). However, sedimentation seems uninterrupted in deeper </w:t>
      </w:r>
      <w:r>
        <w:t>parts of the depocenters, and continued deposition might have been aided by concomitant subsidence (</w:t>
      </w:r>
      <w:r>
        <w:rPr>
          <w:b/>
        </w:rPr>
        <w:t>???</w:t>
      </w:r>
      <w:r>
        <w:t>, Krystyn et al. 2005, Barth et al. 2018). This change is documented as grey marly deposits of the Tiefengraben Member (Kendlbach Formation) in the North</w:t>
      </w:r>
      <w:r>
        <w:t>ern Calcareous Alps. In the CEB this drop in sea level has been connected with the formation of a progradational unit of organic matter-poor silt and sandstone, known as the Triletes Beds in Germany and time-equivalent units in Denmark (Lindström et al. 20</w:t>
      </w:r>
      <w:r>
        <w:t>17b). Another conspicuous and widespread unit in the Eiberg Basin is a bright red clayey marl unit, known as the Schattwald Beds (Lindström et al. 2017b). The similarities of these lithological units of the CEB and western Tethys shelf seas led the previou</w:t>
      </w:r>
      <w:r>
        <w:t>s authors to propose a shared name for these units: the “Event Beds”.</w:t>
      </w:r>
    </w:p>
    <w:p w:rsidR="006D67BC" w:rsidRDefault="00EB3263">
      <w:pPr>
        <w:pStyle w:val="Textkrper"/>
      </w:pPr>
      <w:r>
        <w:t xml:space="preserve">A subsequent transgression has been linked with severe condensation and the lack of several earliest Jurassic ammonite biozones in many sections of the CEB ({van de Schootbrugge} et al. </w:t>
      </w:r>
      <w:r>
        <w:t>2008, Lindström et al. 2017b). By contrast, the sections of western Tethys shelf seas document a return to grey marls of the Tiefengraben Member, which contain the oldest known psiloceratid ammonite (</w:t>
      </w:r>
      <w:r>
        <w:rPr>
          <w:i/>
        </w:rPr>
        <w:t>Psiloceras spelae tirolicus</w:t>
      </w:r>
      <w:r>
        <w:t>). Eventually, the ongoing tr</w:t>
      </w:r>
      <w:r>
        <w:t>ansgression resulted in the formation of limestones of the Breitenberg Member (Kendlbach Formation) ({von Hillebrandt} et al. 2013). Earliest Jurassic sediments of the CEB are generally of an open marine origin with ammonites belonging to the Planorbis bio</w:t>
      </w:r>
      <w:r>
        <w:t>zone (Psilonotenton Formation) (e.g. Wetzel 1929, Blind 1963, Bloos 1999, {van de Schootbrugge} et al. 2009, Lindström et al. 2017b).</w:t>
      </w:r>
    </w:p>
    <w:p w:rsidR="006D67BC" w:rsidRDefault="00EB3263">
      <w:pPr>
        <w:pStyle w:val="berschrift1"/>
      </w:pPr>
      <w:bookmarkStart w:id="6" w:name="materials-and-methods"/>
      <w:bookmarkEnd w:id="6"/>
      <w:r>
        <w:t>Materials and Methods</w:t>
      </w:r>
    </w:p>
    <w:p w:rsidR="006D67BC" w:rsidRDefault="00EB3263">
      <w:pPr>
        <w:pStyle w:val="berschrift2"/>
      </w:pPr>
      <w:bookmarkStart w:id="7" w:name="materials"/>
      <w:bookmarkEnd w:id="7"/>
      <w:r>
        <w:t>Materials</w:t>
      </w:r>
    </w:p>
    <w:p w:rsidR="006D67BC" w:rsidRDefault="00EB3263">
      <w:pPr>
        <w:pStyle w:val="FirstParagraph"/>
      </w:pPr>
      <w:r>
        <w:t>The Tr</w:t>
      </w:r>
      <w:r>
        <w:t>–J transitional beds of the Bonenburg and Kuhjoch sections are studied for their sedimentological, palaeontological and bulk geochemical characteristics as representatives for the CEB and the western Tethys shelf seas, respectively. The Bonenburg site (51.</w:t>
      </w:r>
      <w:r>
        <w:t>5631</w:t>
      </w:r>
      <m:oMath>
        <m:r>
          <w:rPr>
            <w:rFonts w:ascii="Cambria Math" w:hAnsi="Cambria Math"/>
          </w:rPr>
          <m:t> </m:t>
        </m:r>
      </m:oMath>
      <w:r>
        <w:t>°N; 9.0401</w:t>
      </w:r>
      <m:oMath>
        <m:r>
          <w:rPr>
            <w:rFonts w:ascii="Cambria Math" w:hAnsi="Cambria Math"/>
          </w:rPr>
          <m:t> </m:t>
        </m:r>
      </m:oMath>
      <w:r>
        <w:t>°E) is an active brick quarry situated 1</w:t>
      </w:r>
      <m:oMath>
        <m:r>
          <w:rPr>
            <w:rFonts w:ascii="Cambria Math" w:hAnsi="Cambria Math"/>
          </w:rPr>
          <m:t> </m:t>
        </m:r>
      </m:oMath>
      <w:r>
        <w:t>km NW of the village of Bonenburg (City of Warburg, Germany). Samples were taken over a 40</w:t>
      </w:r>
      <m:oMath>
        <m:r>
          <w:rPr>
            <w:rFonts w:ascii="Cambria Math" w:hAnsi="Cambria Math"/>
          </w:rPr>
          <m:t> </m:t>
        </m:r>
      </m:oMath>
      <w:r>
        <w:t>m interval with an approximate resolution of 50</w:t>
      </w:r>
      <m:oMath>
        <m:r>
          <w:rPr>
            <w:rFonts w:ascii="Cambria Math" w:hAnsi="Cambria Math"/>
          </w:rPr>
          <m:t> </m:t>
        </m:r>
      </m:oMath>
      <w:r>
        <w:t>cm. The Kuhjoch GSSP site (47.4839</w:t>
      </w:r>
      <m:oMath>
        <m:r>
          <w:rPr>
            <w:rFonts w:ascii="Cambria Math" w:hAnsi="Cambria Math"/>
          </w:rPr>
          <m:t> </m:t>
        </m:r>
      </m:oMath>
      <w:r>
        <w:t>°N; 11.5306</w:t>
      </w:r>
      <m:oMath>
        <m:r>
          <w:rPr>
            <w:rFonts w:ascii="Cambria Math" w:hAnsi="Cambria Math"/>
          </w:rPr>
          <m:t> </m:t>
        </m:r>
      </m:oMath>
      <w:r>
        <w:t>°E) is locate</w:t>
      </w:r>
      <w:r>
        <w:t>d in the western part of the Northern Calcareous Alps (NCA), 25</w:t>
      </w:r>
      <m:oMath>
        <m:r>
          <w:rPr>
            <w:rFonts w:ascii="Cambria Math" w:hAnsi="Cambria Math"/>
          </w:rPr>
          <m:t> </m:t>
        </m:r>
      </m:oMath>
      <w:r>
        <w:t>km NNE of Innsbruck and 5 km ENE of the village of Hinterriss (Austria). This section (~24</w:t>
      </w:r>
      <m:oMath>
        <m:r>
          <w:rPr>
            <w:rFonts w:ascii="Cambria Math" w:hAnsi="Cambria Math"/>
          </w:rPr>
          <m:t> </m:t>
        </m:r>
      </m:oMath>
      <w:r>
        <w:t>m) was sampled over an interval of 9</w:t>
      </w:r>
      <m:oMath>
        <m:r>
          <w:rPr>
            <w:rFonts w:ascii="Cambria Math" w:hAnsi="Cambria Math"/>
          </w:rPr>
          <m:t> </m:t>
        </m:r>
      </m:oMath>
      <w:r>
        <w:t>m at 20</w:t>
      </w:r>
      <m:oMath>
        <m:r>
          <w:rPr>
            <w:rFonts w:ascii="Cambria Math" w:hAnsi="Cambria Math"/>
          </w:rPr>
          <m:t> </m:t>
        </m:r>
      </m:oMath>
      <w:r>
        <w:t>cm intervals (Bonis et al. 2010, {von Hillebrandt} et al</w:t>
      </w:r>
      <w:r>
        <w:t>. 2013). In the lab, the surface of the rock samples was removed to prevent contamination with modern organic material, after which the material was ground manually with agate mortar and pestle, except for a few limestones which were ground with a mechanic</w:t>
      </w:r>
      <w:r>
        <w:t xml:space="preserve"> agate mill.</w:t>
      </w:r>
    </w:p>
    <w:p w:rsidR="006D67BC" w:rsidRDefault="00EB3263">
      <w:pPr>
        <w:pStyle w:val="berschrift2"/>
      </w:pPr>
      <w:bookmarkStart w:id="8" w:name="bulk-rock-biogeochemical-analysis"/>
      <w:bookmarkEnd w:id="8"/>
      <w:r>
        <w:t>Bulk rock biogeochemical analysis</w:t>
      </w:r>
    </w:p>
    <w:p w:rsidR="006D67BC" w:rsidRDefault="00EB3263">
      <w:pPr>
        <w:pStyle w:val="FirstParagraph"/>
      </w:pPr>
      <w:r>
        <w:t>In order to remove the carbonate content, the samples were treated with 2M HCl and left over night to react at room temperature. This procedure was repeated until no further reaction was observed. The residues</w:t>
      </w:r>
      <w:r>
        <w:t xml:space="preserve"> were repeatedly washed with MilliQ water</w:t>
      </w:r>
      <w:r>
        <w:rPr>
          <w:vertAlign w:val="superscript"/>
        </w:rPr>
        <w:t>TM</w:t>
      </w:r>
      <w:r>
        <w:t xml:space="preserve"> and dried at 40</w:t>
      </w:r>
      <m:oMath>
        <m:r>
          <w:rPr>
            <w:rFonts w:ascii="Cambria Math" w:hAnsi="Cambria Math"/>
          </w:rPr>
          <m:t> </m:t>
        </m:r>
      </m:oMath>
      <w:r>
        <w:t>°C. The de-carbonated samples were analyzed for total organic carbon (TOC) content and associated carbon isotopic composition with a THERMOFlash AS 11121 elemental analyzer linked to a THERMO/Finn</w:t>
      </w:r>
      <w:r>
        <w:t>igan conflo interface (at the Museum für Naturkunde, Berlin). A separate analysis on untreated sample material was carried out to obtain total nitrogen (TN) composition. The analytical precision was monitored by a lab-internal standard (peptone) and yielde</w:t>
      </w:r>
      <w:r>
        <w:t>d relative standard deviations (RSDs) of 3</w:t>
      </w:r>
      <m:oMath>
        <m:r>
          <w:rPr>
            <w:rFonts w:ascii="Cambria Math" w:hAnsi="Cambria Math"/>
          </w:rPr>
          <m:t> </m:t>
        </m:r>
      </m:oMath>
      <w:r>
        <w:t>% for the C and N concentration and 0.05</w:t>
      </w:r>
      <m:oMath>
        <m:r>
          <w:rPr>
            <w:rFonts w:ascii="Cambria Math" w:hAnsi="Cambria Math"/>
          </w:rPr>
          <m:t> </m:t>
        </m:r>
      </m:oMath>
      <w:r>
        <w:t>‰ (2SD) for C isotope composition. All carbon isotope measurements are reported in standard delta notation relative to VPDB. Obtained TOC values of de-carbonated substrates</w:t>
      </w:r>
      <w:r>
        <w:t xml:space="preserve"> were corrected for weight-loss during acid digestion. These analyses were complemented with published carbon isotope data of the Mingolsheim core (Quan et al. 2008), Stenlille core (Lindström et al. 2015), Mariental core ({van de Schootbrugge} et al. 2013</w:t>
      </w:r>
      <w:r>
        <w:t>), Schandelah core ({ van de Schootbrugge} et al.) and several outcrops of the NCA (Kuhjoch, Restentalgraben, Kendlbachgraben, Hochalplgraben, and Tiefengraben) (Ruhl et al. 2009). In addition, TOC, TN and percent carbonate mineral data for Kuhjoch were ta</w:t>
      </w:r>
      <w:r>
        <w:t>ken from Ruhl et al. (2010).</w:t>
      </w:r>
    </w:p>
    <w:p w:rsidR="006D67BC" w:rsidRDefault="00EB3263">
      <w:pPr>
        <w:pStyle w:val="Textkrper"/>
      </w:pPr>
      <w:r>
        <w:t>Whole rock element analyses have been performed at the Museum für Naturkunde Berlin with a Bruker AXS S8 TIGER on fused samples for major elements. The production of the fused pellets required 0.6</w:t>
      </w:r>
      <m:oMath>
        <m:r>
          <w:rPr>
            <w:rFonts w:ascii="Cambria Math" w:hAnsi="Cambria Math"/>
          </w:rPr>
          <m:t> </m:t>
        </m:r>
      </m:oMath>
      <w:r>
        <w:t xml:space="preserve">g of ground sample, which had </w:t>
      </w:r>
      <w:r>
        <w:t>been dried at 105</w:t>
      </w:r>
      <m:oMath>
        <m:r>
          <w:rPr>
            <w:rFonts w:ascii="Cambria Math" w:hAnsi="Cambria Math"/>
          </w:rPr>
          <m:t> </m:t>
        </m:r>
      </m:oMath>
      <w:r>
        <w:t>°C, mixed with 3.6</w:t>
      </w:r>
      <m:oMath>
        <m:r>
          <w:rPr>
            <w:rFonts w:ascii="Cambria Math" w:hAnsi="Cambria Math"/>
          </w:rPr>
          <m:t> </m:t>
        </m:r>
      </m:oMath>
      <w:r>
        <w:t>g of di-lithiumtetraborate together with 0.5 to 20</w:t>
      </w:r>
      <m:oMath>
        <m:r>
          <w:rPr>
            <w:rFonts w:ascii="Cambria Math" w:hAnsi="Cambria Math"/>
          </w:rPr>
          <m:t> </m:t>
        </m:r>
      </m:oMath>
      <w:r>
        <w:t>g of ammoniumnitrate (where the amount depends on the oxidation grade). Subsequently, fusion of sample pellets was performed with an OXIFLUX burner chain in Pt/AU cruci</w:t>
      </w:r>
      <w:r>
        <w:t>bles. Precision of elemental analysis was monitored by analyzing a range of international standards, and repeated measurement of standard element concentrations yielded RSDs that are better than 5</w:t>
      </w:r>
      <m:oMath>
        <m:r>
          <w:rPr>
            <w:rFonts w:ascii="Cambria Math" w:hAnsi="Cambria Math"/>
          </w:rPr>
          <m:t> </m:t>
        </m:r>
      </m:oMath>
      <w:r>
        <w:t>%. Element data of the Kuhjoch section are taken from Tanne</w:t>
      </w:r>
      <w:r>
        <w:t>r et al. (2016).</w:t>
      </w:r>
    </w:p>
    <w:p w:rsidR="006D67BC" w:rsidRDefault="00EB3263">
      <w:pPr>
        <w:pStyle w:val="berschrift2"/>
      </w:pPr>
      <w:bookmarkStart w:id="9" w:name="microfloral-analysis"/>
      <w:bookmarkEnd w:id="9"/>
      <w:r>
        <w:t>Microfloral analysis</w:t>
      </w:r>
    </w:p>
    <w:p w:rsidR="006D67BC" w:rsidRDefault="00EB3263">
      <w:pPr>
        <w:pStyle w:val="FirstParagraph"/>
      </w:pPr>
      <w:r>
        <w:t>Forty-four samples were collected from the Bonenburg section, 19 from the Contorta Beds and 13 from the Triletes Beds of the Exter Formation, and 12 from the Psilonotenton Formation. Palynological processing was performed according to standard laboratory p</w:t>
      </w:r>
      <w:r>
        <w:t>rotocols at the palynological laboratory of the department of Geoscience, University of Oslo, Norway. Between 5 and 15</w:t>
      </w:r>
      <m:oMath>
        <m:r>
          <w:rPr>
            <w:rFonts w:ascii="Cambria Math" w:hAnsi="Cambria Math"/>
          </w:rPr>
          <m:t> </m:t>
        </m:r>
      </m:oMath>
      <w:r>
        <w:t>g dry sediment from each sample were crushed and a Lycopodium tablet (containing 12,542 spores on average) was added. Alternate treatment</w:t>
      </w:r>
      <w:r>
        <w:t>s with HCl and HF were conducted to remove carbonate and silicate minerals, respectively. The residue was washed with water until pH was neutral and sieved with a 15</w:t>
      </w:r>
      <m:oMath>
        <m:r>
          <w:rPr>
            <w:rFonts w:ascii="Cambria Math" w:hAnsi="Cambria Math"/>
          </w:rPr>
          <m:t> </m:t>
        </m:r>
        <m:r>
          <w:rPr>
            <w:rFonts w:ascii="Cambria Math" w:hAnsi="Cambria Math"/>
          </w:rPr>
          <m:t>μ</m:t>
        </m:r>
      </m:oMath>
      <w:r>
        <w:t>m mesh, treated with heavy liquid solution (ZnCl</w:t>
      </w:r>
      <w:r>
        <w:rPr>
          <w:vertAlign w:val="subscript"/>
        </w:rPr>
        <w:t>2</w:t>
      </w:r>
      <w:r>
        <w:t>) to remove the remaining inorganic res</w:t>
      </w:r>
      <w:r>
        <w:t>idue (e.g. pyrite), and sieved again with a 15</w:t>
      </w:r>
      <m:oMath>
        <m:r>
          <w:rPr>
            <w:rFonts w:ascii="Cambria Math" w:hAnsi="Cambria Math"/>
          </w:rPr>
          <m:t> </m:t>
        </m:r>
        <m:r>
          <w:rPr>
            <w:rFonts w:ascii="Cambria Math" w:hAnsi="Cambria Math"/>
          </w:rPr>
          <m:t>μ</m:t>
        </m:r>
      </m:oMath>
      <w:r>
        <w:t>m mesh. The organic residue was mounted on four slides per sample with Entellan®Neu. The slides are stored in the collections of the department of Geosciences at the University of Oslo. About 300 organic par</w:t>
      </w:r>
      <w:r>
        <w:t>ticles and 300 terrestrial palynomorphs were counted per sample for palynofacies and quantitative palynological analyses, respectively. The rest of each slide plus an additional slide were screened for rare species separately from the palynomorph count for</w:t>
      </w:r>
      <w:r>
        <w:t xml:space="preserve"> qualitative analysis. Palynomorphs were classified mainly based on Nilsson (1958), Klaus (1960), Schulz (1962), Schulz (1967), Morbey (1975), Schuurman (1976), Lund (1977), and Pedersen &amp; Lund (1980). A list of all identified morphotaxa is given in the su</w:t>
      </w:r>
      <w:r>
        <w:t>pplement. First (FO) and last(LO) occurrences of stratigraphically important taxa were identified. This dataset was extended with data from previous palynological studies on the Kuhjoch section (Bonis et al. 2009, Schobben 2011)</w:t>
      </w:r>
    </w:p>
    <w:p w:rsidR="006D67BC" w:rsidRDefault="00EB3263">
      <w:pPr>
        <w:pStyle w:val="berschrift2"/>
      </w:pPr>
      <w:bookmarkStart w:id="10" w:name="data-processing-statistics-and-visualiza"/>
      <w:bookmarkEnd w:id="10"/>
      <w:r>
        <w:t>Data processing, statistics</w:t>
      </w:r>
      <w:r>
        <w:t xml:space="preserve"> and visualization</w:t>
      </w:r>
    </w:p>
    <w:p w:rsidR="006D67BC" w:rsidRDefault="00EB3263">
      <w:pPr>
        <w:pStyle w:val="FirstParagraph"/>
      </w:pPr>
      <w:r>
        <w:t xml:space="preserve">Data processing, statistical data treatment and visualization were performed on the open-source platform R (R Core Team 2018), and were aided by the R packages: ggplot2 (Wickham 2009), gridExtra (Auguie 2017), ggtern (Hamilton 2017) and </w:t>
      </w:r>
      <w:r>
        <w:t>broman (Broman &amp; Broman 2017). The palynomorph assemblage zones, as suggested by qualitative analysis, were verified quantitatively by constrained clustering analysis using the CONISS-function in Tilia (Grimm 2011). The manuscript was written as an R Markd</w:t>
      </w:r>
      <w:r>
        <w:t>own document, and was aided by the R packages: knitr (Xie 2014, 2015, 2018) and kfigr (Koohafkan 2015). The R Markdown file as well as the biogeochemical and microfloral data are available as an online supplement.</w:t>
      </w:r>
    </w:p>
    <w:p w:rsidR="006D67BC" w:rsidRDefault="00EB3263">
      <w:pPr>
        <w:pStyle w:val="berschrift1"/>
      </w:pPr>
      <w:bookmarkStart w:id="11" w:name="chemical-weathering-indices"/>
      <w:bookmarkEnd w:id="11"/>
      <w:r>
        <w:t>Chemical weathering indices</w:t>
      </w:r>
    </w:p>
    <w:p w:rsidR="006D67BC" w:rsidRDefault="00EB3263">
      <w:pPr>
        <w:pStyle w:val="FirstParagraph"/>
      </w:pPr>
      <w:r>
        <w:t>The emphasis o</w:t>
      </w:r>
      <w:r>
        <w:t xml:space="preserve">f this study lies on the contributions of changing organic matter sources and their control on </w:t>
      </w:r>
      <m:oMath>
        <m:r>
          <w:rPr>
            <w:rFonts w:ascii="Cambria Math" w:hAnsi="Cambria Math"/>
          </w:rPr>
          <m:t>δ</m:t>
        </m:r>
      </m:oMath>
      <w:r>
        <w:rPr>
          <w:vertAlign w:val="superscript"/>
        </w:rPr>
        <w:t>13</w:t>
      </w:r>
      <w:r>
        <w:t>C</w:t>
      </w:r>
      <w:r>
        <w:rPr>
          <w:vertAlign w:val="subscript"/>
        </w:rPr>
        <w:t>TOC</w:t>
      </w:r>
      <w:r>
        <w:t xml:space="preserve"> fluctuations. Hence, tracing changes in the terrigenous organic carbon (OC) flux over time is a prime objective, and can be forced by changes in the par</w:t>
      </w:r>
      <w:r>
        <w:t>ent material or differential weathering intensities. The same processes would also steer stratigraphic changes in clay mineral assemblages, as thermodynamic and kinetic constraints determine the chemical composition of clay minerals formed by the weatherin</w:t>
      </w:r>
      <w:r>
        <w:t>g of crystalline rocks at Earth’s surface (Nesbitt &amp; Young 1984). In essence, the fundamentals of clay chemical composition can, at least in part, be traced back to the parent material, in which some minerals are susceptible to weathering, such as potash f</w:t>
      </w:r>
      <w:r>
        <w:t>eldspar and plagioclase, whereas others are more resistant to weathering, such as quartz and Ti-bearing oxides. These differences can be traced by the selective removal of soluble elements from the parent material with a classical study of the ratios of el</w:t>
      </w:r>
      <w:r>
        <w:t>ements that are presumed to be soluble and mobile against immobile elements. Immobile elements form hydrolyzates and have a large ionic radius, increasing their tendency to be adsorbed on clay minerals (Buggle et al. 2011). Although processes like authigen</w:t>
      </w:r>
      <w:r>
        <w:t>ic clay mineral formation (potentially aided by bacteria), cation adsorption and sorting effects (Konhauser et al. 2002, Michalopoulos &amp; Aller 2004) can skew these generalized assumptions, first-order trends in these element distributions might still be en</w:t>
      </w:r>
      <w:r>
        <w:t>trained in the chemistry of marine sedimentary rock. For instance, authigenic clay minerals only compose a small percentage of the total sediment mass in deltaic sediments of the Amazon River (Michalopoulos &amp; Aller 2004). Hence, bulk chemistry of the produ</w:t>
      </w:r>
      <w:r>
        <w:t>ced material will primarily be controlled by the sediment source and the weathering intensity. By presenting the molar proportions of Na</w:t>
      </w:r>
      <w:r>
        <w:rPr>
          <w:vertAlign w:val="subscript"/>
        </w:rPr>
        <w:t>2</w:t>
      </w:r>
      <w:r>
        <w:t>O, K</w:t>
      </w:r>
      <w:r>
        <w:rPr>
          <w:vertAlign w:val="subscript"/>
        </w:rPr>
        <w:t>2</w:t>
      </w:r>
      <w:r>
        <w:t>O and Al</w:t>
      </w:r>
      <w:r>
        <w:rPr>
          <w:vertAlign w:val="subscript"/>
        </w:rPr>
        <w:t>2</w:t>
      </w:r>
      <w:r>
        <w:t>O</w:t>
      </w:r>
      <w:r>
        <w:rPr>
          <w:vertAlign w:val="subscript"/>
        </w:rPr>
        <w:t>3</w:t>
      </w:r>
      <w:r>
        <w:t xml:space="preserve"> on a ternary coordinate system, we attempt to evaluate changes in the terrestrial clay mineral flux fo</w:t>
      </w:r>
      <w:r>
        <w:t>r the Tr–J boundary beds of Kuhjoch and Bonenburg. The element distributions have been corrected for carbonate content to prevent distortion of trends by differential dilution.</w:t>
      </w:r>
    </w:p>
    <w:p w:rsidR="006D67BC" w:rsidRDefault="00EB3263">
      <w:pPr>
        <w:pStyle w:val="berschrift1"/>
      </w:pPr>
      <w:bookmarkStart w:id="12" w:name="results"/>
      <w:bookmarkEnd w:id="12"/>
      <w:r>
        <w:t>Results</w:t>
      </w:r>
    </w:p>
    <w:p w:rsidR="006D67BC" w:rsidRDefault="00EB3263">
      <w:pPr>
        <w:pStyle w:val="berschrift2"/>
      </w:pPr>
      <w:bookmarkStart w:id="13" w:name="litho--and-biostratigraphy-bonenburg"/>
      <w:bookmarkEnd w:id="13"/>
      <w:r>
        <w:t>Litho- and biostratigraphy Bonenburg</w:t>
      </w:r>
    </w:p>
    <w:p w:rsidR="006D67BC" w:rsidRDefault="00EB3263">
      <w:pPr>
        <w:pStyle w:val="FirstParagraph"/>
      </w:pPr>
      <w:r>
        <w:t>The lithological subdivision and p</w:t>
      </w:r>
      <w:r>
        <w:t xml:space="preserve">alynological zonation can be used to reconstruct an independent stratigraphic framework, enabling a comparative analysis of the supra-regional significance on facies-dependent </w:t>
      </w:r>
      <m:oMath>
        <m:r>
          <w:rPr>
            <w:rFonts w:ascii="Cambria Math" w:hAnsi="Cambria Math"/>
          </w:rPr>
          <m:t>δ</m:t>
        </m:r>
      </m:oMath>
      <w:r>
        <w:rPr>
          <w:vertAlign w:val="superscript"/>
        </w:rPr>
        <w:t>13</w:t>
      </w:r>
      <w:r>
        <w:t>C</w:t>
      </w:r>
      <w:r>
        <w:rPr>
          <w:vertAlign w:val="subscript"/>
        </w:rPr>
        <w:t>TOC</w:t>
      </w:r>
      <w:r>
        <w:t xml:space="preserve"> fluctuations. Biostratigraphic information is derived from macroinverte</w:t>
      </w:r>
      <w:r>
        <w:t>brates (ammonites, bivalves, conchostracans) and palynomorphs (Fig 2). Particularly terrestrial palynomorphs, which make up at least 40 and up to 90</w:t>
      </w:r>
      <m:oMath>
        <m:r>
          <w:rPr>
            <w:rFonts w:ascii="Cambria Math" w:hAnsi="Cambria Math"/>
          </w:rPr>
          <m:t> </m:t>
        </m:r>
      </m:oMath>
      <w:r>
        <w:t>% of the palynomorph samples (Fig 3</w:t>
      </w:r>
      <w:r>
        <w:t>), exhibit distinct changes in their relative abundances across the Rhaetian and the Tr–J boundary interval at Bonenburg. In this paper, we only present the palynostratigraphically relevant data and five informal assemblage zones of terrestrial palynomorph</w:t>
      </w:r>
      <w:r>
        <w:t>s that can be recognised (Fig 2).</w:t>
      </w:r>
    </w:p>
    <w:p w:rsidR="006D67BC" w:rsidRDefault="00EB3263">
      <w:pPr>
        <w:pStyle w:val="Compact"/>
      </w:pPr>
      <w:r>
        <w:t>Lithological column and stratigraphic ranges of key fossils from the Triassic¬–Jurassic transition at Bonenburg. Horizontal marks indicate the presence of a taxon in a sample. In palynomorph taxon ranges, dark grey segment</w:t>
      </w:r>
      <w:r>
        <w:t>s indicate that the relative abundance of a taxon is higher than 5% of the terrestrial assemblage (pollen and spores) or the aquatic assemblage (dinoflagellates) respectively. Note variable spacing of analysed samples for invertebrates and palynomorphs.</w:t>
      </w:r>
    </w:p>
    <w:p w:rsidR="006D67BC" w:rsidRDefault="00EB3263">
      <w:pPr>
        <w:pStyle w:val="Compact"/>
      </w:pPr>
      <w:r>
        <w:t>Fi</w:t>
      </w:r>
      <w:r>
        <w:t>g. 2. Lithological column and stratigraphic ranges of key fossils from the Triassic¬–Jurassic transition at Bonenburg. Horizontal marks indicate the presence of a taxon in a sample. In palynomorph taxon ranges, dark grey segments indicate that the relative</w:t>
      </w:r>
      <w:r>
        <w:t xml:space="preserve"> abundance of a taxon is higher than 5% of the terrestrial assemblage (pollen and spores) or the aquatic assemblage (dinoflagellates) respectively. Note variable spacing of analysed samples for invertebrates and palynomorphs.</w:t>
      </w:r>
    </w:p>
    <w:p w:rsidR="006D67BC" w:rsidRDefault="00EB3263">
      <w:pPr>
        <w:pStyle w:val="Textkrper"/>
      </w:pPr>
      <w:r>
        <w:rPr>
          <w:b/>
        </w:rPr>
        <w:t>Contorta Beds</w:t>
      </w:r>
      <w:r>
        <w:t xml:space="preserve">: Thin-bedded to </w:t>
      </w:r>
      <w:r>
        <w:t>massive mudstones dominate the Contorta Beds. In the basal part of the unit, mudstones and very fine to fine-grained sandstones form coarsening-upward successions. Beds of heterolithic mudstone and sandstone with trace fossils occur sporadically in the mid</w:t>
      </w:r>
      <w:r>
        <w:t>dle and upper part of the unit. Shell pavements of marine bivalves and inarticulate brachiopods, bonebeds, and carbonate concretions are intercalated at irregular intervals (Fig 2). The mudstones contain pyrite and gypsum throughout, whereas dolomite is la</w:t>
      </w:r>
      <w:r>
        <w:t>rgely restricted to the middle and upper part. A shift from dark grey to reddish and brownish sediment colors indicates the contact of the Contorta Beds to the Triletes Beds. Biostratigraphically relevant macroinvertebrates of the Contorta Beds include com</w:t>
      </w:r>
      <w:r>
        <w:t xml:space="preserve">mon occurrences of the Rhaetian bivalve </w:t>
      </w:r>
      <w:r>
        <w:rPr>
          <w:i/>
        </w:rPr>
        <w:t>Rhaetavicula contorta</w:t>
      </w:r>
      <w:r>
        <w:t xml:space="preserve"> which is the only macrofossil that can be utilized to correlate the Contorta Beds of the CEB with sequences from the western Tethys (Golebiowski 1990). Two other bivalves, </w:t>
      </w:r>
      <w:r>
        <w:rPr>
          <w:i/>
        </w:rPr>
        <w:t>Protocardia rhaetica</w:t>
      </w:r>
      <w:r>
        <w:t xml:space="preserve"> a</w:t>
      </w:r>
      <w:r>
        <w:t xml:space="preserve">nd </w:t>
      </w:r>
      <w:r>
        <w:rPr>
          <w:i/>
        </w:rPr>
        <w:t>Pteromya langportensis</w:t>
      </w:r>
      <w:r>
        <w:t xml:space="preserve">, are shared with coeval Rhaetian deposits of the Penarth Group of Great Britain (Ivimey-Cook et al. 1999, Mander et al. 2008) while </w:t>
      </w:r>
      <w:r>
        <w:rPr>
          <w:i/>
        </w:rPr>
        <w:t>P. rhaetica</w:t>
      </w:r>
      <w:r>
        <w:t xml:space="preserve"> is also known from Rhaetian deposits of Winterswijk in the Netherlands (Klompmaker et </w:t>
      </w:r>
      <w:r>
        <w:t>al. 2010).</w:t>
      </w:r>
    </w:p>
    <w:p w:rsidR="006D67BC" w:rsidRDefault="00EB3263">
      <w:pPr>
        <w:pStyle w:val="Textkrper"/>
      </w:pPr>
      <w:r>
        <w:t>The Contorta Beds harbor three bonebeds (Fig 2), labelled bonebed 1 to 3 (Sander et al. 2016, Wintrich et al. 2017). Bonebed 2, the main bonebed, which is subdivided into two layers, bonebed 2a and bonebed 2b, contains a typically Rhaetian verte</w:t>
      </w:r>
      <w:r>
        <w:t xml:space="preserve">brate fauna composed of taxa also known from the Bristol Channel area of SW England (Storrs 1994, Korneisel et al. 2015, Mears et al. 2016, Sander et al. 2016, Wintrich et al. 2017). Stratigraphically informative are the chondrichthyan teeth </w:t>
      </w:r>
      <w:r>
        <w:rPr>
          <w:i/>
        </w:rPr>
        <w:t>Hybodus cloaci</w:t>
      </w:r>
      <w:r>
        <w:rPr>
          <w:i/>
        </w:rPr>
        <w:t>nus</w:t>
      </w:r>
      <w:r>
        <w:t xml:space="preserve">, </w:t>
      </w:r>
      <w:r>
        <w:rPr>
          <w:i/>
        </w:rPr>
        <w:t>Lissodus minimus</w:t>
      </w:r>
      <w:r>
        <w:t xml:space="preserve">, and </w:t>
      </w:r>
      <w:r>
        <w:rPr>
          <w:i/>
        </w:rPr>
        <w:t>Rhomphaiodon minor</w:t>
      </w:r>
      <w:r>
        <w:t xml:space="preserve"> and the reptile </w:t>
      </w:r>
      <w:r>
        <w:rPr>
          <w:i/>
        </w:rPr>
        <w:t>Pachystropheus rhaeticus</w:t>
      </w:r>
      <w:r>
        <w:t xml:space="preserve"> (Sander et al. 2016, Wintrich et al. 2017). In addition, bonebed 2 has produced numerous isolated plesiosaur vertebrae (Sander et al. 2016, Wintrich et al. 2017) and ver</w:t>
      </w:r>
      <w:r>
        <w:t xml:space="preserve">y large shastasaurid ichthyosaur vertebrae typical of the Rhaetian (Fischer et al. 2014, Lomax et al. 2018). Finally, temnospondyl amphibian remains, including the youngest well-dated non-brachiopoid remains, have been found, suggesting a strong influence </w:t>
      </w:r>
      <w:r>
        <w:t>of the end-Triassic extinction event on temnospondyl amphibians (</w:t>
      </w:r>
      <w:r>
        <w:rPr>
          <w:b/>
        </w:rPr>
        <w:t>???</w:t>
      </w:r>
      <w:r>
        <w:t>). Three meters below bonebed 2, the only known Triassic plesiosaur skeleton that unequivocally proves that several lineages of plesiosaurs crossed the Tr–J boundary was recovered (Wintric</w:t>
      </w:r>
      <w:r>
        <w:t>h et al. 2017).</w:t>
      </w:r>
    </w:p>
    <w:p w:rsidR="006D67BC" w:rsidRDefault="00EB3263">
      <w:pPr>
        <w:pStyle w:val="Textkrper"/>
      </w:pPr>
      <w:r>
        <w:t xml:space="preserve">Immediately below bonebed 2, the chonchostracan </w:t>
      </w:r>
      <w:r>
        <w:rPr>
          <w:i/>
        </w:rPr>
        <w:t>Euestheria brodieana</w:t>
      </w:r>
      <w:r>
        <w:t xml:space="preserve"> occurs in several tightly spaced monospecific layers, indicative of the upper Rhaetian </w:t>
      </w:r>
      <w:r>
        <w:rPr>
          <w:i/>
        </w:rPr>
        <w:t>Euestheria brodieana</w:t>
      </w:r>
      <w:r>
        <w:t xml:space="preserve"> Zone (Kozur &amp; Weems 2010). Palynologically, the lowermost part </w:t>
      </w:r>
      <w:r>
        <w:t>of the Contorta Beds (2.2–2.9</w:t>
      </w:r>
      <m:oMath>
        <m:r>
          <w:rPr>
            <w:rFonts w:ascii="Cambria Math" w:hAnsi="Cambria Math"/>
          </w:rPr>
          <m:t> </m:t>
        </m:r>
      </m:oMath>
      <w:r>
        <w:t xml:space="preserve">m) represents the </w:t>
      </w:r>
      <w:r>
        <w:rPr>
          <w:i/>
        </w:rPr>
        <w:t>Ricciisporites</w:t>
      </w:r>
      <w:r>
        <w:t>-</w:t>
      </w:r>
      <w:r>
        <w:rPr>
          <w:i/>
        </w:rPr>
        <w:t>Conbaculatisporites</w:t>
      </w:r>
      <w:r>
        <w:t xml:space="preserve"> Assemblage Zone (RC-Zone; Fig 2), with the eponymous taxa accompanied by </w:t>
      </w:r>
      <w:r>
        <w:rPr>
          <w:i/>
        </w:rPr>
        <w:t>Classopollis</w:t>
      </w:r>
      <w:r>
        <w:t xml:space="preserve"> spp., </w:t>
      </w:r>
      <w:r>
        <w:rPr>
          <w:i/>
        </w:rPr>
        <w:t>Rhaetipollis germanicus</w:t>
      </w:r>
      <w:r>
        <w:t xml:space="preserve"> and </w:t>
      </w:r>
      <w:r>
        <w:rPr>
          <w:i/>
        </w:rPr>
        <w:t>Ovalipollis</w:t>
      </w:r>
      <w:r>
        <w:t xml:space="preserve"> with the latter three dominating the asse</w:t>
      </w:r>
      <w:r>
        <w:t>mblage. The remainder of the Contorta Beds (2.9–13.5</w:t>
      </w:r>
      <m:oMath>
        <m:r>
          <w:rPr>
            <w:rFonts w:ascii="Cambria Math" w:hAnsi="Cambria Math"/>
          </w:rPr>
          <m:t> </m:t>
        </m:r>
      </m:oMath>
      <w:r>
        <w:t xml:space="preserve">m) is assigned to the </w:t>
      </w:r>
      <w:r>
        <w:rPr>
          <w:i/>
        </w:rPr>
        <w:t>Rhaetipollis</w:t>
      </w:r>
      <w:r>
        <w:t>-</w:t>
      </w:r>
      <w:r>
        <w:rPr>
          <w:i/>
        </w:rPr>
        <w:t>Limbosporites</w:t>
      </w:r>
      <w:r>
        <w:t xml:space="preserve"> Assemblage Zone (RL-Zone; Fig 2) which is dominated by the eponymous taxa and other pollen such as </w:t>
      </w:r>
      <w:r>
        <w:rPr>
          <w:i/>
        </w:rPr>
        <w:t>Ovalipollis</w:t>
      </w:r>
      <w:r>
        <w:t xml:space="preserve"> spp. and </w:t>
      </w:r>
      <w:r>
        <w:rPr>
          <w:i/>
        </w:rPr>
        <w:t>Classopollis</w:t>
      </w:r>
      <w:r>
        <w:t xml:space="preserve"> spp. Within the RL-Zo</w:t>
      </w:r>
      <w:r>
        <w:t xml:space="preserve">ne morphotaxa richness increases to 74 taxa because a number of spores – especially the stratigraphically important </w:t>
      </w:r>
      <w:r>
        <w:rPr>
          <w:i/>
        </w:rPr>
        <w:t>Densosporites fissus</w:t>
      </w:r>
      <w:r>
        <w:t xml:space="preserve">, </w:t>
      </w:r>
      <w:r>
        <w:rPr>
          <w:i/>
        </w:rPr>
        <w:t>Perinosporites thuringiacus</w:t>
      </w:r>
      <w:r>
        <w:t xml:space="preserve">, and </w:t>
      </w:r>
      <w:r>
        <w:rPr>
          <w:i/>
        </w:rPr>
        <w:t>Triancoraesporites reticulatus</w:t>
      </w:r>
      <w:r>
        <w:t xml:space="preserve"> – have their FOs. Reversely pollen taxa richness decre</w:t>
      </w:r>
      <w:r>
        <w:t xml:space="preserve">ases and </w:t>
      </w:r>
      <w:r>
        <w:rPr>
          <w:i/>
        </w:rPr>
        <w:t>Granuloperculatisporites rudis</w:t>
      </w:r>
      <w:r>
        <w:t xml:space="preserve"> is virtually absent from 9</w:t>
      </w:r>
      <m:oMath>
        <m:r>
          <w:rPr>
            <w:rFonts w:ascii="Cambria Math" w:hAnsi="Cambria Math"/>
          </w:rPr>
          <m:t> </m:t>
        </m:r>
      </m:oMath>
      <w:r>
        <w:t>m up-section with its highest, but only singular, occurrence at 19</w:t>
      </w:r>
      <m:oMath>
        <m:r>
          <w:rPr>
            <w:rFonts w:ascii="Cambria Math" w:hAnsi="Cambria Math"/>
          </w:rPr>
          <m:t> </m:t>
        </m:r>
      </m:oMath>
      <w:r>
        <w:t xml:space="preserve">m. Of particular stratigraphic importance is the LO of </w:t>
      </w:r>
      <w:r>
        <w:rPr>
          <w:i/>
        </w:rPr>
        <w:t>Limbosporites lundbladii</w:t>
      </w:r>
      <w:r>
        <w:t xml:space="preserve"> at the base of this zone.</w:t>
      </w:r>
    </w:p>
    <w:p w:rsidR="006D67BC" w:rsidRDefault="00EB3263">
      <w:pPr>
        <w:pStyle w:val="Textkrper"/>
      </w:pPr>
      <w:r>
        <w:rPr>
          <w:b/>
        </w:rPr>
        <w:t>Triletes Beds (E</w:t>
      </w:r>
      <w:r>
        <w:rPr>
          <w:b/>
        </w:rPr>
        <w:t>vent Beds)</w:t>
      </w:r>
      <w:r>
        <w:t>: The lower part of the Triletes Beds consists of massive or wavy bedded mudstones and thin sandstones. In the upper part, very fine to fine-grained wavy bedded, ripple cross-bedded and occasionally small-scale cross-bedded sandstones become domi</w:t>
      </w:r>
      <w:r>
        <w:t>nant. Dolomite is present in the lower part of the unit whereas the middle and upper part is calcareous. The biostratigraphic classification of the Triletes Beds is exclusively based on palynomorphs, since macrofossils are absent, except for very few unide</w:t>
      </w:r>
      <w:r>
        <w:t>ntifiable plant remains. The Triletes Beds (13.5–30.0</w:t>
      </w:r>
      <m:oMath>
        <m:r>
          <w:rPr>
            <w:rFonts w:ascii="Cambria Math" w:hAnsi="Cambria Math"/>
          </w:rPr>
          <m:t> </m:t>
        </m:r>
      </m:oMath>
      <w:r>
        <w:t xml:space="preserve">m) represent the </w:t>
      </w:r>
      <w:r>
        <w:rPr>
          <w:i/>
        </w:rPr>
        <w:t>Ricciisporites</w:t>
      </w:r>
      <w:r>
        <w:t>-</w:t>
      </w:r>
      <w:r>
        <w:rPr>
          <w:i/>
        </w:rPr>
        <w:t>Polypodiisporites</w:t>
      </w:r>
      <w:r>
        <w:t xml:space="preserve"> Assemblage Zone (RP-Zone; Fig 2). With 110 identified taxa, this assemblage zone contains the greatest taxonomic richness and the best preserved palynom</w:t>
      </w:r>
      <w:r>
        <w:t xml:space="preserve">orphs within the section. The zone is dominated by spores and characterized by abundant occurrences of </w:t>
      </w:r>
      <w:r>
        <w:rPr>
          <w:i/>
        </w:rPr>
        <w:t>Polypodiisporites polymicroforatus</w:t>
      </w:r>
      <w:r>
        <w:t xml:space="preserve"> and </w:t>
      </w:r>
      <w:r>
        <w:rPr>
          <w:i/>
        </w:rPr>
        <w:t>Riccisporites tuberculatus</w:t>
      </w:r>
      <w:r>
        <w:t>. The latter continuously makes up 10–40</w:t>
      </w:r>
      <m:oMath>
        <m:r>
          <w:rPr>
            <w:rFonts w:ascii="Cambria Math" w:hAnsi="Cambria Math"/>
          </w:rPr>
          <m:t> </m:t>
        </m:r>
      </m:oMath>
      <w:r>
        <w:t>% of the terrestrial assemblage while all other</w:t>
      </w:r>
      <w:r>
        <w:t xml:space="preserve"> pollen, except </w:t>
      </w:r>
      <w:r>
        <w:rPr>
          <w:i/>
        </w:rPr>
        <w:t>Lunatisporites rhaeticus</w:t>
      </w:r>
      <w:r>
        <w:t xml:space="preserve"> and </w:t>
      </w:r>
      <w:r>
        <w:rPr>
          <w:i/>
        </w:rPr>
        <w:t>Perinopollenites elatoides</w:t>
      </w:r>
      <w:r>
        <w:t xml:space="preserve">, occur sporadically only. The spore </w:t>
      </w:r>
      <w:r>
        <w:rPr>
          <w:i/>
        </w:rPr>
        <w:t>P. polymicroforatus</w:t>
      </w:r>
      <w:r>
        <w:t xml:space="preserve"> makes up 5–20</w:t>
      </w:r>
      <m:oMath>
        <m:r>
          <w:rPr>
            <w:rFonts w:ascii="Cambria Math" w:hAnsi="Cambria Math"/>
          </w:rPr>
          <m:t> </m:t>
        </m:r>
      </m:oMath>
      <w:r>
        <w:t>% of the zone and is joined by a diverse spore assemblage. At the beginning of the last quarter of the Triletes Be</w:t>
      </w:r>
      <w:r>
        <w:t>ds (around 26</w:t>
      </w:r>
      <m:oMath>
        <m:r>
          <w:rPr>
            <w:rFonts w:ascii="Cambria Math" w:hAnsi="Cambria Math"/>
          </w:rPr>
          <m:t> </m:t>
        </m:r>
      </m:oMath>
      <w:r>
        <w:t xml:space="preserve">m) many palynomorphs have their LOs (e.g. </w:t>
      </w:r>
      <w:r>
        <w:rPr>
          <w:i/>
        </w:rPr>
        <w:t>Densosporites fissus</w:t>
      </w:r>
      <w:r>
        <w:t xml:space="preserve">, </w:t>
      </w:r>
      <w:r>
        <w:rPr>
          <w:i/>
        </w:rPr>
        <w:t>Triancoraesporites reticulatus</w:t>
      </w:r>
      <w:r>
        <w:t xml:space="preserve">, </w:t>
      </w:r>
      <w:r>
        <w:rPr>
          <w:i/>
        </w:rPr>
        <w:t>Perinosporites thuringiacus</w:t>
      </w:r>
      <w:r>
        <w:t xml:space="preserve">, </w:t>
      </w:r>
      <w:r>
        <w:rPr>
          <w:i/>
        </w:rPr>
        <w:t>Lycopodiacidites rhaeticus</w:t>
      </w:r>
      <w:r>
        <w:t>), or decline in abundance (</w:t>
      </w:r>
      <w:r>
        <w:rPr>
          <w:i/>
        </w:rPr>
        <w:t>Deltoidospora</w:t>
      </w:r>
      <w:r>
        <w:t xml:space="preserve"> spp. and </w:t>
      </w:r>
      <w:r>
        <w:rPr>
          <w:i/>
        </w:rPr>
        <w:t>Concavisporites</w:t>
      </w:r>
      <w:r>
        <w:t xml:space="preserve"> </w:t>
      </w:r>
      <w:r>
        <w:t xml:space="preserve">spp.). Of biostratigraphic importance is the FO of </w:t>
      </w:r>
      <w:r>
        <w:rPr>
          <w:i/>
        </w:rPr>
        <w:t>Semiretisporis</w:t>
      </w:r>
      <w:r>
        <w:t xml:space="preserve"> spp. and </w:t>
      </w:r>
      <w:r>
        <w:rPr>
          <w:i/>
        </w:rPr>
        <w:t>Polycingulatisporites</w:t>
      </w:r>
      <w:r>
        <w:t xml:space="preserve"> spp. at the base and their LO at the top of the RP-Zone as well as the LOs of </w:t>
      </w:r>
      <w:r>
        <w:rPr>
          <w:i/>
        </w:rPr>
        <w:t>Densosporites fissus</w:t>
      </w:r>
      <w:r>
        <w:t xml:space="preserve">, </w:t>
      </w:r>
      <w:r>
        <w:rPr>
          <w:i/>
        </w:rPr>
        <w:t>Triancoraesporites reticulatus</w:t>
      </w:r>
      <w:r>
        <w:t xml:space="preserve">, </w:t>
      </w:r>
      <w:r>
        <w:rPr>
          <w:i/>
        </w:rPr>
        <w:t>Perinosporites thuringiacus</w:t>
      </w:r>
      <w:r>
        <w:t xml:space="preserve">, </w:t>
      </w:r>
      <w:r>
        <w:rPr>
          <w:i/>
        </w:rPr>
        <w:t>Lycopodiacidites rhaeticus</w:t>
      </w:r>
      <w:r>
        <w:t xml:space="preserve"> at 26</w:t>
      </w:r>
      <m:oMath>
        <m:r>
          <w:rPr>
            <w:rFonts w:ascii="Cambria Math" w:hAnsi="Cambria Math"/>
          </w:rPr>
          <m:t> </m:t>
        </m:r>
      </m:oMath>
      <w:r>
        <w:t>m. Furthermore, palynofacies analyses show a distinct increase in the fraction of wood fragments in this unit.</w:t>
      </w:r>
    </w:p>
    <w:p w:rsidR="006D67BC" w:rsidRDefault="00EB3263">
      <w:pPr>
        <w:pStyle w:val="Textkrper"/>
      </w:pPr>
      <w:r>
        <w:rPr>
          <w:b/>
        </w:rPr>
        <w:t>Psilonotenton Formation</w:t>
      </w:r>
      <w:r>
        <w:t>: The Triletes Beds are unconformably overlain by an oyster-rich coquinoid limestone be</w:t>
      </w:r>
      <w:r>
        <w:t>d that belongs to the Psilonotenton Formation. The Tr–J boundary is placed at the base of this erosive oyster shell bed at 30</w:t>
      </w:r>
      <m:oMath>
        <m:r>
          <w:rPr>
            <w:rFonts w:ascii="Cambria Math" w:hAnsi="Cambria Math"/>
          </w:rPr>
          <m:t> </m:t>
        </m:r>
      </m:oMath>
      <w:r>
        <w:t>m, based on ammonoid biostratigraphy and palynoflora (see below). The Psilonotenton Formation consists predominantly of wavy to ho</w:t>
      </w:r>
      <w:r>
        <w:t>rizontally bedded marl- and mudstones with only minor limestones and contains marine bivalves and ammonites. The latter allow for a biostratigraphical subdivision of the succession (see discussion for ammonoid zonation and correlations; Section 7.1). Three</w:t>
      </w:r>
      <w:r>
        <w:t xml:space="preserve"> ammonoid-bearing levels are identified: (1) A single specimen of </w:t>
      </w:r>
      <w:r>
        <w:rPr>
          <w:i/>
        </w:rPr>
        <w:t>Neophyllites imitatum</w:t>
      </w:r>
      <w:r>
        <w:t xml:space="preserve"> from the limestone bed at 31</w:t>
      </w:r>
      <m:oMath>
        <m:r>
          <w:rPr>
            <w:rFonts w:ascii="Cambria Math" w:hAnsi="Cambria Math"/>
          </w:rPr>
          <m:t> </m:t>
        </m:r>
      </m:oMath>
      <w:r>
        <w:t>m suggests an attribution of the bed to the second biohorizon of the British standard zonation (Page 2002), indicating the lower part of th</w:t>
      </w:r>
      <w:r>
        <w:t xml:space="preserve">e Planorbis Chronozone. (2) Crushed specimens of </w:t>
      </w:r>
      <w:r>
        <w:rPr>
          <w:i/>
        </w:rPr>
        <w:t>Caloceras</w:t>
      </w:r>
      <w:r>
        <w:t xml:space="preserve"> sp. from the limestone bed at 31.5</w:t>
      </w:r>
      <m:oMath>
        <m:r>
          <w:rPr>
            <w:rFonts w:ascii="Cambria Math" w:hAnsi="Cambria Math"/>
          </w:rPr>
          <m:t> </m:t>
        </m:r>
      </m:oMath>
      <w:r>
        <w:t>m indicate a higher position in the Planorbis Chronozone (</w:t>
      </w:r>
      <w:r>
        <w:rPr>
          <w:i/>
        </w:rPr>
        <w:t>Johnstoni</w:t>
      </w:r>
      <w:r>
        <w:t xml:space="preserve"> Subchronozone). (3) A single specimen of </w:t>
      </w:r>
      <w:r>
        <w:rPr>
          <w:i/>
        </w:rPr>
        <w:t>Saxoceras</w:t>
      </w:r>
      <w:r>
        <w:t xml:space="preserve"> sp. from the limestone bed at 39</w:t>
      </w:r>
      <m:oMath>
        <m:r>
          <w:rPr>
            <w:rFonts w:ascii="Cambria Math" w:hAnsi="Cambria Math"/>
          </w:rPr>
          <m:t> </m:t>
        </m:r>
      </m:oMath>
      <w:r>
        <w:t>m allows a</w:t>
      </w:r>
      <w:r>
        <w:t xml:space="preserve">ttribution to the upper part of the </w:t>
      </w:r>
      <w:r>
        <w:rPr>
          <w:i/>
        </w:rPr>
        <w:t>Liassicus</w:t>
      </w:r>
      <w:r>
        <w:t xml:space="preserve"> Chronozone (</w:t>
      </w:r>
      <w:r>
        <w:rPr>
          <w:i/>
        </w:rPr>
        <w:t>Laqueus</w:t>
      </w:r>
      <w:r>
        <w:t xml:space="preserve"> Subchronozone). This Hettangian part of the section is further characterized palynologically by a dominance of pollen, overall low taxonomic richness and generally poor preservation. </w:t>
      </w:r>
      <w:r>
        <w:rPr>
          <w:i/>
        </w:rPr>
        <w:t>Heliosp</w:t>
      </w:r>
      <w:r>
        <w:rPr>
          <w:i/>
        </w:rPr>
        <w:t>orites reissingeri</w:t>
      </w:r>
      <w:r>
        <w:t xml:space="preserve"> and </w:t>
      </w:r>
      <w:r>
        <w:rPr>
          <w:i/>
        </w:rPr>
        <w:t>Deltoidospora</w:t>
      </w:r>
      <w:r>
        <w:t>/</w:t>
      </w:r>
      <w:r>
        <w:rPr>
          <w:i/>
        </w:rPr>
        <w:t>Concavisporites</w:t>
      </w:r>
      <w:r>
        <w:t xml:space="preserve"> spp. are the most common spores in this interval. This part of the section is assigned to the </w:t>
      </w:r>
      <w:r>
        <w:rPr>
          <w:i/>
        </w:rPr>
        <w:t>Pinuspollenites</w:t>
      </w:r>
      <w:r>
        <w:t>-</w:t>
      </w:r>
      <w:r>
        <w:rPr>
          <w:i/>
        </w:rPr>
        <w:t>Heliosporites</w:t>
      </w:r>
      <w:r>
        <w:t xml:space="preserve"> Assemblage Zone (PiH-Zone; Fig 2). The previously abundant </w:t>
      </w:r>
      <w:r>
        <w:rPr>
          <w:i/>
        </w:rPr>
        <w:t>Ricciisporites tuber</w:t>
      </w:r>
      <w:r>
        <w:rPr>
          <w:i/>
        </w:rPr>
        <w:t>culatus</w:t>
      </w:r>
      <w:r>
        <w:t xml:space="preserve"> is substituted by </w:t>
      </w:r>
      <w:r>
        <w:rPr>
          <w:i/>
        </w:rPr>
        <w:t>Classopollis</w:t>
      </w:r>
      <w:r>
        <w:t xml:space="preserve"> spp. which markedly increased in abundance from 0–1</w:t>
      </w:r>
      <m:oMath>
        <m:r>
          <w:rPr>
            <w:rFonts w:ascii="Cambria Math" w:hAnsi="Cambria Math"/>
          </w:rPr>
          <m:t> </m:t>
        </m:r>
      </m:oMath>
      <w:r>
        <w:t>% to 36–70</w:t>
      </w:r>
      <m:oMath>
        <m:r>
          <w:rPr>
            <w:rFonts w:ascii="Cambria Math" w:hAnsi="Cambria Math"/>
          </w:rPr>
          <m:t> </m:t>
        </m:r>
      </m:oMath>
      <w:r>
        <w:t>% in the Hettangian part of the section. The lowest part of the PiH-Zone still contains typical elements from the previous zone such as the sporadically o</w:t>
      </w:r>
      <w:r>
        <w:t xml:space="preserve">ccurring </w:t>
      </w:r>
      <w:r>
        <w:rPr>
          <w:i/>
        </w:rPr>
        <w:t>Limbosporites lundbladii</w:t>
      </w:r>
      <w:r>
        <w:t xml:space="preserve"> and </w:t>
      </w:r>
      <w:r>
        <w:rPr>
          <w:i/>
        </w:rPr>
        <w:t>Polypodiisporites polymicroforatus</w:t>
      </w:r>
      <w:r>
        <w:t xml:space="preserve">. </w:t>
      </w:r>
      <w:r>
        <w:rPr>
          <w:i/>
        </w:rPr>
        <w:t>Ricciisporites tuberculatus</w:t>
      </w:r>
      <w:r>
        <w:t xml:space="preserve"> is still common in the lowermost quantitative Hettangian samples, but strongly decreases in abundance thereafter. The uppermost part of the palynologicall</w:t>
      </w:r>
      <w:r>
        <w:t xml:space="preserve">y studied section is distinguished by the abundant reoccurrence of </w:t>
      </w:r>
      <w:r>
        <w:rPr>
          <w:i/>
        </w:rPr>
        <w:t>Ricciisporites tuberculatus</w:t>
      </w:r>
      <w:r>
        <w:t xml:space="preserve"> and scattered occurrences of spores and pollen that were common in the RP Assemblage Zone. Of stratigraphic importance is the FO of </w:t>
      </w:r>
      <w:r>
        <w:rPr>
          <w:i/>
        </w:rPr>
        <w:t>Cerebropollenites thiergartii</w:t>
      </w:r>
      <w:r>
        <w:t xml:space="preserve"> and </w:t>
      </w:r>
      <w:r>
        <w:rPr>
          <w:i/>
        </w:rPr>
        <w:t>Pinuspollenites minimus</w:t>
      </w:r>
      <w:r>
        <w:t xml:space="preserve"> at the base of the Psilonotenton Formation.</w:t>
      </w:r>
    </w:p>
    <w:p w:rsidR="006D67BC" w:rsidRDefault="00EB3263">
      <w:pPr>
        <w:pStyle w:val="berschrift2"/>
      </w:pPr>
      <w:bookmarkStart w:id="14" w:name="litho--and-biostratigraphy-kuhjoch"/>
      <w:bookmarkEnd w:id="14"/>
      <w:r>
        <w:t>Litho- and biostratigraphy Kuhjoch</w:t>
      </w:r>
    </w:p>
    <w:p w:rsidR="006D67BC" w:rsidRDefault="00EB3263">
      <w:pPr>
        <w:pStyle w:val="FirstParagraph"/>
      </w:pPr>
      <w:r>
        <w:t>The lithostratigraphy and palynostratigraphy of the Kuhjoch Tr–J GSSP has been intensively studied (e.g. Bonis et al. 2009, {von Hillebrandt} et al.</w:t>
      </w:r>
      <w:r>
        <w:t xml:space="preserve"> 2013), and we limit our discussion to the most salient points required to enable a correlation. This correlative scheme differs from the official stratigraphic definitions (Section 2.2 and Fig 4) in order to test the facies-dependence of the TOC-carbon is</w:t>
      </w:r>
      <w:r>
        <w:t>otope composition in the Event Beds. The studied interval comprises a ~24</w:t>
      </w:r>
      <m:oMath>
        <m:r>
          <w:rPr>
            <w:rFonts w:ascii="Cambria Math" w:hAnsi="Cambria Math"/>
          </w:rPr>
          <m:t> </m:t>
        </m:r>
      </m:oMath>
      <w:r>
        <w:t xml:space="preserve">m succession of marine limestone and marl with varying proportions of siliciclastic and carbonate material, and can be decomposed into the following units. 1) </w:t>
      </w:r>
      <w:r>
        <w:rPr>
          <w:b/>
        </w:rPr>
        <w:t>Pre-event Beds</w:t>
      </w:r>
      <w:r>
        <w:t>: the top</w:t>
      </w:r>
      <w:r>
        <w:t>most 2</w:t>
      </w:r>
      <m:oMath>
        <m:r>
          <w:rPr>
            <w:rFonts w:ascii="Cambria Math" w:hAnsi="Cambria Math"/>
          </w:rPr>
          <m:t> </m:t>
        </m:r>
      </m:oMath>
      <w:r>
        <w:t>m of the Kössen Formation (Eiberg Member), overlain by a dark bituminous layer, with abundant bivalve and fish remains (the so-called “T-Bed”; Krystyn et al. 2005, Ruhl et al. 2010), followed by grey and yellowish-grey marls containing the last occu</w:t>
      </w:r>
      <w:r>
        <w:t xml:space="preserve">rrences of the ammonoid </w:t>
      </w:r>
      <w:r>
        <w:rPr>
          <w:i/>
        </w:rPr>
        <w:t>Choristoceras marshi</w:t>
      </w:r>
      <w:r>
        <w:t xml:space="preserve"> ({von Hillebrandt} et al. 2013). 2) </w:t>
      </w:r>
      <w:r>
        <w:rPr>
          <w:b/>
        </w:rPr>
        <w:t>Schattwald Beds (Event Beds)</w:t>
      </w:r>
      <w:r>
        <w:t xml:space="preserve">: the lithology changes to a conspicuous bright red-colored fossil-poor lithology, distinctive for the occurrences of </w:t>
      </w:r>
      <w:r>
        <w:rPr>
          <w:i/>
        </w:rPr>
        <w:t>Polypodiisporites polymicrofo</w:t>
      </w:r>
      <w:r>
        <w:rPr>
          <w:i/>
        </w:rPr>
        <w:t>ratus</w:t>
      </w:r>
      <w:r>
        <w:t xml:space="preserve">, </w:t>
      </w:r>
      <w:r>
        <w:rPr>
          <w:i/>
        </w:rPr>
        <w:t>Ricciisporites tuberculates</w:t>
      </w:r>
      <w:r>
        <w:t xml:space="preserve"> and </w:t>
      </w:r>
      <w:r>
        <w:rPr>
          <w:i/>
        </w:rPr>
        <w:t>Deltoidospora</w:t>
      </w:r>
      <w:r>
        <w:t xml:space="preserve"> spp. Local tectonics resulted in a minor fault at the top part (2.16</w:t>
      </w:r>
      <m:oMath>
        <m:r>
          <w:rPr>
            <w:rFonts w:ascii="Cambria Math" w:hAnsi="Cambria Math"/>
          </w:rPr>
          <m:t> </m:t>
        </m:r>
      </m:oMath>
      <w:r>
        <w:t xml:space="preserve">m above the base of this unit), thereby creating a small hiatus. A second outcrop towards the east (Kuhjoch East) of the main site (Kuhjoch West) was excavated, yielding a more gradual transition into the overlying unit. 3) </w:t>
      </w:r>
      <w:r>
        <w:rPr>
          <w:b/>
        </w:rPr>
        <w:t>Post-event Beds</w:t>
      </w:r>
      <w:r>
        <w:t>: transition from</w:t>
      </w:r>
      <w:r>
        <w:t xml:space="preserve"> red to grey marls with thin silt- and sandstone layers more common up-section. At 6.3</w:t>
      </w:r>
      <m:oMath>
        <m:r>
          <w:rPr>
            <w:rFonts w:ascii="Cambria Math" w:hAnsi="Cambria Math"/>
          </w:rPr>
          <m:t> </m:t>
        </m:r>
      </m:oMath>
      <w:r>
        <w:t xml:space="preserve">m above the top of the Kössen Formation, the ammonite </w:t>
      </w:r>
      <w:r>
        <w:rPr>
          <w:i/>
        </w:rPr>
        <w:t>Psiloceras spelae tirolicum</w:t>
      </w:r>
      <w:r>
        <w:t xml:space="preserve"> appears. The first occurrences of </w:t>
      </w:r>
      <w:r>
        <w:rPr>
          <w:i/>
        </w:rPr>
        <w:t>Cerebropollenites thiergartii</w:t>
      </w:r>
      <w:r>
        <w:t xml:space="preserve"> and </w:t>
      </w:r>
      <w:r>
        <w:rPr>
          <w:i/>
        </w:rPr>
        <w:t>Ischyosporites vari</w:t>
      </w:r>
      <w:r>
        <w:rPr>
          <w:i/>
        </w:rPr>
        <w:t>egatus</w:t>
      </w:r>
      <w:r>
        <w:t xml:space="preserve"> are used as informal stratigraphic markers for the Tr–J boundary ({von Hillebrandt} et al. 2013).</w:t>
      </w:r>
    </w:p>
    <w:p w:rsidR="006D67BC" w:rsidRDefault="00EB3263">
      <w:pPr>
        <w:pStyle w:val="berschrift2"/>
      </w:pPr>
      <w:bookmarkStart w:id="15" w:name="comparative-mineralogy-of-the-trj-transi"/>
      <w:bookmarkEnd w:id="15"/>
      <w:r>
        <w:t>Comparative mineralogy of the Tr–J transition beds</w:t>
      </w:r>
    </w:p>
    <w:p w:rsidR="006D67BC" w:rsidRDefault="00EB3263">
      <w:pPr>
        <w:pStyle w:val="FirstParagraph"/>
      </w:pPr>
      <w:r>
        <w:t>The Kuhjoch material is relatively more depleted in Na</w:t>
      </w:r>
      <w:r>
        <w:rPr>
          <w:vertAlign w:val="subscript"/>
        </w:rPr>
        <w:t>2</w:t>
      </w:r>
      <w:r>
        <w:t>O and K</w:t>
      </w:r>
      <w:r>
        <w:rPr>
          <w:vertAlign w:val="subscript"/>
        </w:rPr>
        <w:t>2</w:t>
      </w:r>
      <w:r>
        <w:t>O content when compared with the Bone</w:t>
      </w:r>
      <w:r>
        <w:t>nburg sediments, thereby alluding to a different source or local weathering regime (Fig 5). A shared characteristic of Kuhjoch and Bonenburg is a clear differentiation between the chemical composition of the major lithological units, with the Schattwald an</w:t>
      </w:r>
      <w:r>
        <w:t>d Triletes Beds being the most depleted in K</w:t>
      </w:r>
      <w:r>
        <w:rPr>
          <w:vertAlign w:val="subscript"/>
        </w:rPr>
        <w:t>2</w:t>
      </w:r>
      <w:r>
        <w:t>O and Na</w:t>
      </w:r>
      <w:r>
        <w:rPr>
          <w:vertAlign w:val="subscript"/>
        </w:rPr>
        <w:t>2</w:t>
      </w:r>
      <w:r>
        <w:t>O, indicating a higher predominance of K-depleted minerals (e.g., kaolinite) in the mineral assemblage. By contrast, the Hettangian samples of both sites have relatively enriched values of K</w:t>
      </w:r>
      <w:r>
        <w:rPr>
          <w:vertAlign w:val="subscript"/>
        </w:rPr>
        <w:t>2</w:t>
      </w:r>
      <w:r>
        <w:t>O and Na</w:t>
      </w:r>
      <w:r>
        <w:rPr>
          <w:vertAlign w:val="subscript"/>
        </w:rPr>
        <w:t>2</w:t>
      </w:r>
      <w:r>
        <w:t>O,</w:t>
      </w:r>
      <w:r>
        <w:t xml:space="preserve"> indicative of less intense weathering in the source area or a different source of clay mineral production. Most immature are the sediments of the Pre-event Beds of Kuhjoch and the Contorta Beds of Bonenburg. Powder X-ray diffraction of the Bonenburg sedim</w:t>
      </w:r>
      <w:r>
        <w:t>ents supplemented by X-ray analyses of &lt;2</w:t>
      </w:r>
      <m:oMath>
        <m:r>
          <w:rPr>
            <w:rFonts w:ascii="Cambria Math" w:hAnsi="Cambria Math"/>
          </w:rPr>
          <m:t> </m:t>
        </m:r>
        <m:r>
          <w:rPr>
            <w:rFonts w:ascii="Cambria Math" w:hAnsi="Cambria Math"/>
          </w:rPr>
          <m:t>μ</m:t>
        </m:r>
      </m:oMath>
      <w:r>
        <w:t>m fractions of selected samples show that the clay mineral assemblage of the Contorta Beds consists of illite (muscovite), chlorite, illite-smectite mixed layers, and kaolinite. In contrast, the Triletes Beds are</w:t>
      </w:r>
      <w:r>
        <w:t xml:space="preserve"> significantly enriched in kaolinite, whereas in the Psilonotenton Formation the kaolinite content decreases again.</w:t>
      </w:r>
    </w:p>
    <w:p w:rsidR="006D67BC" w:rsidRDefault="00EB3263">
      <w:pPr>
        <w:pStyle w:val="berschrift2"/>
      </w:pPr>
      <w:bookmarkStart w:id="16" w:name="bulk-rock-biogeochemical-properties-of-t"/>
      <w:bookmarkEnd w:id="16"/>
      <w:r>
        <w:t>Bulk rock biogeochemical properties of the Tr–J transition beds</w:t>
      </w:r>
    </w:p>
    <w:p w:rsidR="006D67BC" w:rsidRDefault="00EB3263">
      <w:pPr>
        <w:pStyle w:val="FirstParagraph"/>
      </w:pPr>
      <w:r>
        <w:t xml:space="preserve">The </w:t>
      </w:r>
      <m:oMath>
        <m:r>
          <w:rPr>
            <w:rFonts w:ascii="Cambria Math" w:hAnsi="Cambria Math"/>
          </w:rPr>
          <m:t>δ</m:t>
        </m:r>
      </m:oMath>
      <w:r>
        <w:rPr>
          <w:vertAlign w:val="superscript"/>
        </w:rPr>
        <w:t>13</w:t>
      </w:r>
      <w:r>
        <w:t>C</w:t>
      </w:r>
      <w:r>
        <w:rPr>
          <w:vertAlign w:val="subscript"/>
        </w:rPr>
        <w:t>TOC</w:t>
      </w:r>
      <w:r>
        <w:t xml:space="preserve"> of the oldest beds of the Bonenburg section (Contorta Beds) flu</w:t>
      </w:r>
      <w:r>
        <w:t>ctuates between -29.2 and -24.8</w:t>
      </w:r>
      <m:oMath>
        <m:r>
          <w:rPr>
            <w:rFonts w:ascii="Cambria Math" w:hAnsi="Cambria Math"/>
          </w:rPr>
          <m:t> </m:t>
        </m:r>
      </m:oMath>
      <w:r>
        <w:t>‰ (Fig 3). Above 10</w:t>
      </w:r>
      <m:oMath>
        <m:r>
          <w:rPr>
            <w:rFonts w:ascii="Cambria Math" w:hAnsi="Cambria Math"/>
          </w:rPr>
          <m:t> </m:t>
        </m:r>
      </m:oMath>
      <w:r>
        <w:t>m, at the transition of the Contorta Beds to the Triletes Beds, a sharp shift to 3.7</w:t>
      </w:r>
      <m:oMath>
        <m:r>
          <w:rPr>
            <w:rFonts w:ascii="Cambria Math" w:hAnsi="Cambria Math"/>
          </w:rPr>
          <m:t> </m:t>
        </m:r>
      </m:oMath>
      <w:r>
        <w:t xml:space="preserve">‰ higher </w:t>
      </w:r>
      <m:oMath>
        <m:r>
          <w:rPr>
            <w:rFonts w:ascii="Cambria Math" w:hAnsi="Cambria Math"/>
          </w:rPr>
          <m:t>δ</m:t>
        </m:r>
      </m:oMath>
      <w:r>
        <w:rPr>
          <w:vertAlign w:val="superscript"/>
        </w:rPr>
        <w:t>13</w:t>
      </w:r>
      <w:r>
        <w:t>C</w:t>
      </w:r>
      <w:r>
        <w:rPr>
          <w:vertAlign w:val="subscript"/>
        </w:rPr>
        <w:t>TOC</w:t>
      </w:r>
      <w:r>
        <w:t xml:space="preserve"> values can be discerned. The up-section interval between 10 to 30</w:t>
      </w:r>
      <m:oMath>
        <m:r>
          <w:rPr>
            <w:rFonts w:ascii="Cambria Math" w:hAnsi="Cambria Math"/>
          </w:rPr>
          <m:t> </m:t>
        </m:r>
      </m:oMath>
      <w:r>
        <w:t xml:space="preserve">m records consistently stable </w:t>
      </w:r>
      <m:oMath>
        <m:r>
          <w:rPr>
            <w:rFonts w:ascii="Cambria Math" w:hAnsi="Cambria Math"/>
          </w:rPr>
          <m:t>δ</m:t>
        </m:r>
      </m:oMath>
      <w:r>
        <w:rPr>
          <w:vertAlign w:val="superscript"/>
        </w:rPr>
        <w:t>13</w:t>
      </w:r>
      <w:r>
        <w:t>C</w:t>
      </w:r>
      <w:r>
        <w:rPr>
          <w:vertAlign w:val="subscript"/>
        </w:rPr>
        <w:t>TOC</w:t>
      </w:r>
      <w:r>
        <w:t xml:space="preserve"> of around -23.3</w:t>
      </w:r>
      <m:oMath>
        <m:r>
          <w:rPr>
            <w:rFonts w:ascii="Cambria Math" w:hAnsi="Cambria Math"/>
          </w:rPr>
          <m:t> </m:t>
        </m:r>
      </m:oMath>
      <w:r>
        <w:t>‰. A sharp shift to about 3.8</w:t>
      </w:r>
      <m:oMath>
        <m:r>
          <w:rPr>
            <w:rFonts w:ascii="Cambria Math" w:hAnsi="Cambria Math"/>
          </w:rPr>
          <m:t> </m:t>
        </m:r>
      </m:oMath>
      <w:r>
        <w:t xml:space="preserve">‰ lower </w:t>
      </w:r>
      <m:oMath>
        <m:r>
          <w:rPr>
            <w:rFonts w:ascii="Cambria Math" w:hAnsi="Cambria Math"/>
          </w:rPr>
          <m:t>δ</m:t>
        </m:r>
      </m:oMath>
      <w:r>
        <w:rPr>
          <w:vertAlign w:val="superscript"/>
        </w:rPr>
        <w:t>13</w:t>
      </w:r>
      <w:r>
        <w:t>C</w:t>
      </w:r>
      <w:r>
        <w:rPr>
          <w:vertAlign w:val="subscript"/>
        </w:rPr>
        <w:t>TOC</w:t>
      </w:r>
      <w:r>
        <w:t xml:space="preserve"> marks the transition to more carbonate-rich strata of the Psilonotenton Formation. The succeeding up-section interval documents </w:t>
      </w:r>
      <w:r>
        <w:rPr>
          <w:vertAlign w:val="superscript"/>
        </w:rPr>
        <w:t>13</w:t>
      </w:r>
      <w:r>
        <w:t>C-depleted TOC, ranging between -30.0 and -25.4</w:t>
      </w:r>
      <m:oMath>
        <m:r>
          <w:rPr>
            <w:rFonts w:ascii="Cambria Math" w:hAnsi="Cambria Math"/>
          </w:rPr>
          <m:t> </m:t>
        </m:r>
      </m:oMath>
      <w:r>
        <w:t>‰. Stratigr</w:t>
      </w:r>
      <w:r>
        <w:t xml:space="preserve">aphic variations in </w:t>
      </w:r>
      <m:oMath>
        <m:r>
          <w:rPr>
            <w:rFonts w:ascii="Cambria Math" w:hAnsi="Cambria Math"/>
          </w:rPr>
          <m:t>δ</m:t>
        </m:r>
      </m:oMath>
      <w:r>
        <w:rPr>
          <w:vertAlign w:val="superscript"/>
        </w:rPr>
        <w:t>13</w:t>
      </w:r>
      <w:r>
        <w:t>C</w:t>
      </w:r>
      <w:r>
        <w:rPr>
          <w:vertAlign w:val="subscript"/>
        </w:rPr>
        <w:t>TOC</w:t>
      </w:r>
      <w:r>
        <w:t xml:space="preserve"> of the Kuhjoch section are signified by a pronounced negative shift to Inf</w:t>
      </w:r>
      <m:oMath>
        <m:r>
          <w:rPr>
            <w:rFonts w:ascii="Cambria Math" w:hAnsi="Cambria Math"/>
          </w:rPr>
          <m:t> </m:t>
        </m:r>
      </m:oMath>
      <w:r>
        <w:t>‰ at the height of the T-Bed [data taken from Ruhl et al. (2009); Fig 4]. A return towards more-positive values is followed by generally high and invari</w:t>
      </w:r>
      <w:r>
        <w:t>able values in the Schattwald Beds (</w:t>
      </w:r>
      <m:oMath>
        <m:r>
          <w:rPr>
            <w:rFonts w:ascii="Cambria Math" w:hAnsi="Cambria Math"/>
          </w:rPr>
          <m:t>δ</m:t>
        </m:r>
      </m:oMath>
      <w:r>
        <w:rPr>
          <w:vertAlign w:val="superscript"/>
        </w:rPr>
        <w:t>13</w:t>
      </w:r>
      <w:r>
        <w:t>C</w:t>
      </w:r>
      <w:r>
        <w:rPr>
          <w:vertAlign w:val="subscript"/>
        </w:rPr>
        <w:t>TOC</w:t>
      </w:r>
      <w:r>
        <w:t>: -25.1</w:t>
      </w:r>
      <m:oMath>
        <m:r>
          <w:rPr>
            <w:rFonts w:ascii="Cambria Math" w:hAnsi="Cambria Math"/>
          </w:rPr>
          <m:t> </m:t>
        </m:r>
      </m:oMath>
      <w:r>
        <w:t xml:space="preserve">‰). After this, a second negative shift demarcates the transition to the Post-event Beds (Tiefengraben Member), followed by </w:t>
      </w:r>
      <w:r>
        <w:rPr>
          <w:vertAlign w:val="superscript"/>
        </w:rPr>
        <w:t>13</w:t>
      </w:r>
      <w:r>
        <w:t>C-depleted TOC values (</w:t>
      </w:r>
      <m:oMath>
        <m:r>
          <w:rPr>
            <w:rFonts w:ascii="Cambria Math" w:hAnsi="Cambria Math"/>
          </w:rPr>
          <m:t>δ</m:t>
        </m:r>
      </m:oMath>
      <w:r>
        <w:rPr>
          <w:vertAlign w:val="superscript"/>
        </w:rPr>
        <w:t>13</w:t>
      </w:r>
      <w:r>
        <w:t>C</w:t>
      </w:r>
      <w:r>
        <w:rPr>
          <w:vertAlign w:val="subscript"/>
        </w:rPr>
        <w:t>TOC</w:t>
      </w:r>
      <w:r>
        <w:t>: Inf</w:t>
      </w:r>
      <m:oMath>
        <m:r>
          <w:rPr>
            <w:rFonts w:ascii="Cambria Math" w:hAnsi="Cambria Math"/>
          </w:rPr>
          <m:t> </m:t>
        </m:r>
      </m:oMath>
      <w:r>
        <w:t>‰) until approximately 8</w:t>
      </w:r>
      <m:oMath>
        <m:r>
          <w:rPr>
            <w:rFonts w:ascii="Cambria Math" w:hAnsi="Cambria Math"/>
          </w:rPr>
          <m:t> </m:t>
        </m:r>
      </m:oMath>
      <w:r>
        <w:t>m above the T-Bed.</w:t>
      </w:r>
    </w:p>
    <w:p w:rsidR="006D67BC" w:rsidRDefault="00EB3263">
      <w:pPr>
        <w:pStyle w:val="Compact"/>
      </w:pPr>
      <w:r>
        <w:rPr>
          <w:noProof/>
        </w:rPr>
        <w:drawing>
          <wp:inline distT="0" distB="0" distL="0" distR="0">
            <wp:extent cx="4587290" cy="3669832"/>
            <wp:effectExtent l="0" t="0" r="0" b="0"/>
            <wp:docPr id="2" name="Picture" descr="Stratigraphic plots of total organic carbon based carbon isotope curve, total organic carbon and bulk nitrogen content (cfb stands for carbonate-free basis), molar C to N ratios and the fraction of marine palynomorphs (marine palynomorphs / [marine + terrestrial palynomorphs]) of the Bonenburg section."/>
            <wp:cNvGraphicFramePr/>
            <a:graphic xmlns:a="http://schemas.openxmlformats.org/drawingml/2006/main">
              <a:graphicData uri="http://schemas.openxmlformats.org/drawingml/2006/picture">
                <pic:pic xmlns:pic="http://schemas.openxmlformats.org/drawingml/2006/picture">
                  <pic:nvPicPr>
                    <pic:cNvPr id="0" name="Picture" descr="Bonenburg_rev_files/figure-docx/FigBB-1.png"/>
                    <pic:cNvPicPr>
                      <a:picLocks noChangeAspect="1" noChangeArrowheads="1"/>
                    </pic:cNvPicPr>
                  </pic:nvPicPr>
                  <pic:blipFill>
                    <a:blip r:embed="rId9"/>
                    <a:stretch>
                      <a:fillRect/>
                    </a:stretch>
                  </pic:blipFill>
                  <pic:spPr bwMode="auto">
                    <a:xfrm>
                      <a:off x="0" y="0"/>
                      <a:ext cx="4587290" cy="3669832"/>
                    </a:xfrm>
                    <a:prstGeom prst="rect">
                      <a:avLst/>
                    </a:prstGeom>
                    <a:noFill/>
                    <a:ln w="9525">
                      <a:noFill/>
                      <a:headEnd/>
                      <a:tailEnd/>
                    </a:ln>
                  </pic:spPr>
                </pic:pic>
              </a:graphicData>
            </a:graphic>
          </wp:inline>
        </w:drawing>
      </w:r>
    </w:p>
    <w:p w:rsidR="006D67BC" w:rsidRDefault="00EB3263">
      <w:pPr>
        <w:pStyle w:val="Compact"/>
      </w:pPr>
      <w:r>
        <w:t>Fig. 3. Stratigraphic plots of total organic carbon based carbon isotope curve, total organic carbon and bulk nitrogen content (cfb stands for carbonate-free basis), molar C to N ratios and the fraction of marine palynomorphs (marine p</w:t>
      </w:r>
      <w:r>
        <w:t>alynomorphs / [marine + terrestrial palynomorphs]) of the Bonenburg section.</w:t>
      </w:r>
    </w:p>
    <w:p w:rsidR="006D67BC" w:rsidRDefault="00EB3263">
      <w:pPr>
        <w:pStyle w:val="Textkrper"/>
      </w:pPr>
      <w:r>
        <w:t>We present TOC and TN values on a carbonate-free basis (cfb) to mitigate variable dilution of the element concentrations by changing sediment carbonate content. In the Contorta Be</w:t>
      </w:r>
      <w:r>
        <w:t>ds, TOC</w:t>
      </w:r>
      <w:r>
        <w:rPr>
          <w:vertAlign w:val="subscript"/>
        </w:rPr>
        <w:t>cfb</w:t>
      </w:r>
      <w:r>
        <w:t xml:space="preserve"> and TN</w:t>
      </w:r>
      <w:r>
        <w:rPr>
          <w:vertAlign w:val="subscript"/>
        </w:rPr>
        <w:t>cfb</w:t>
      </w:r>
      <w:r>
        <w:t xml:space="preserve"> average at 1.54</w:t>
      </w:r>
      <m:oMath>
        <m:r>
          <w:rPr>
            <w:rFonts w:ascii="Cambria Math" w:hAnsi="Cambria Math"/>
          </w:rPr>
          <m:t> </m:t>
        </m:r>
      </m:oMath>
      <w:r>
        <w:t>% and 0.07</w:t>
      </w:r>
      <m:oMath>
        <m:r>
          <w:rPr>
            <w:rFonts w:ascii="Cambria Math" w:hAnsi="Cambria Math"/>
          </w:rPr>
          <m:t> </m:t>
        </m:r>
      </m:oMath>
      <w:r>
        <w:t>%, respectively, and are highly variable, with pronounced peaks in TOC</w:t>
      </w:r>
      <w:r>
        <w:rPr>
          <w:vertAlign w:val="subscript"/>
        </w:rPr>
        <w:t>cfb</w:t>
      </w:r>
      <w:r>
        <w:t xml:space="preserve"> and TN</w:t>
      </w:r>
      <w:r>
        <w:rPr>
          <w:vertAlign w:val="subscript"/>
        </w:rPr>
        <w:t>cfb</w:t>
      </w:r>
      <w:r>
        <w:t xml:space="preserve"> in the upper part of the Contorta Beds (Fig 3). By contrast, the Triletes Beds are depleted in TOC</w:t>
      </w:r>
      <w:r>
        <w:rPr>
          <w:vertAlign w:val="subscript"/>
        </w:rPr>
        <w:t>cfb</w:t>
      </w:r>
      <w:r>
        <w:t xml:space="preserve"> (0.26</w:t>
      </w:r>
      <m:oMath>
        <m:r>
          <w:rPr>
            <w:rFonts w:ascii="Cambria Math" w:hAnsi="Cambria Math"/>
          </w:rPr>
          <m:t> </m:t>
        </m:r>
      </m:oMath>
      <w:r>
        <w:t>%) and TN</w:t>
      </w:r>
      <w:r>
        <w:rPr>
          <w:vertAlign w:val="subscript"/>
        </w:rPr>
        <w:t>cfb</w:t>
      </w:r>
      <w:r>
        <w:t xml:space="preserve"> (0.</w:t>
      </w:r>
      <w:r>
        <w:t>04</w:t>
      </w:r>
      <m:oMath>
        <m:r>
          <w:rPr>
            <w:rFonts w:ascii="Cambria Math" w:hAnsi="Cambria Math"/>
          </w:rPr>
          <m:t> </m:t>
        </m:r>
      </m:oMath>
      <w:r>
        <w:t>%) and further stand out for their absence of significant variations. The lithological boundary of the Triletes Beds to the Psilonotenton Formation is again associated with pronounced peaks in TOC</w:t>
      </w:r>
      <w:r>
        <w:rPr>
          <w:vertAlign w:val="subscript"/>
        </w:rPr>
        <w:t>cfb</w:t>
      </w:r>
      <w:r>
        <w:t xml:space="preserve"> and TN</w:t>
      </w:r>
      <w:r>
        <w:rPr>
          <w:vertAlign w:val="subscript"/>
        </w:rPr>
        <w:t>cfb</w:t>
      </w:r>
      <w:r>
        <w:t>, followed up-section by continued enrichmen</w:t>
      </w:r>
      <w:r>
        <w:t>t (TOC</w:t>
      </w:r>
      <w:r>
        <w:rPr>
          <w:vertAlign w:val="subscript"/>
        </w:rPr>
        <w:t>cfb</w:t>
      </w:r>
      <w:r>
        <w:t>: 1.30</w:t>
      </w:r>
      <m:oMath>
        <m:r>
          <w:rPr>
            <w:rFonts w:ascii="Cambria Math" w:hAnsi="Cambria Math"/>
          </w:rPr>
          <m:t> </m:t>
        </m:r>
      </m:oMath>
      <w:r>
        <w:t>% and TN</w:t>
      </w:r>
      <w:r>
        <w:rPr>
          <w:vertAlign w:val="subscript"/>
        </w:rPr>
        <w:t>cfb</w:t>
      </w:r>
      <w:r>
        <w:t>: 0.07</w:t>
      </w:r>
      <m:oMath>
        <m:r>
          <w:rPr>
            <w:rFonts w:ascii="Cambria Math" w:hAnsi="Cambria Math"/>
          </w:rPr>
          <m:t> </m:t>
        </m:r>
      </m:oMath>
      <w:r>
        <w:t>%) and variability. Stratigraphic variations in molar C/N (TOC/TN) and the marine palynomorph fraction follow to some extent TOC</w:t>
      </w:r>
      <w:r>
        <w:rPr>
          <w:vertAlign w:val="subscript"/>
        </w:rPr>
        <w:t>cfb</w:t>
      </w:r>
      <w:r>
        <w:t xml:space="preserve"> and TN</w:t>
      </w:r>
      <w:r>
        <w:rPr>
          <w:vertAlign w:val="subscript"/>
        </w:rPr>
        <w:t>cfb</w:t>
      </w:r>
      <w:r>
        <w:t xml:space="preserve"> modulations. Although published data on TN</w:t>
      </w:r>
      <w:r>
        <w:rPr>
          <w:vertAlign w:val="subscript"/>
        </w:rPr>
        <w:t>cfb</w:t>
      </w:r>
      <w:r>
        <w:t xml:space="preserve"> and C/N (data taken from Ruhl et a</w:t>
      </w:r>
      <w:r>
        <w:t>l. 2010) are rather incomplete for large portions of the Kuhjoch section (Fig 4), it is still noteworthy to mention that maxima in TOC</w:t>
      </w:r>
      <w:r>
        <w:rPr>
          <w:vertAlign w:val="subscript"/>
        </w:rPr>
        <w:t>cfb</w:t>
      </w:r>
      <w:r>
        <w:t>, TN</w:t>
      </w:r>
      <w:r>
        <w:rPr>
          <w:vertAlign w:val="subscript"/>
        </w:rPr>
        <w:t>cfb</w:t>
      </w:r>
      <w:r>
        <w:t xml:space="preserve"> and C/N coincide within the T-bed. More than half of the palynomorph assemblage consists of marine constituents</w:t>
      </w:r>
      <w:r>
        <w:t xml:space="preserve"> in samples from the uppermost Pre-event Beds and the Post-event Beds of Kuhjoch, but this fraction (</w:t>
      </w:r>
      <w:r>
        <w:rPr>
          <w:i/>
        </w:rPr>
        <w:t>f</w:t>
      </w:r>
      <w:r>
        <w:rPr>
          <w:vertAlign w:val="subscript"/>
        </w:rPr>
        <w:t>marine</w:t>
      </w:r>
      <w:r>
        <w:t xml:space="preserve"> = marine palynomorphs / [marine + terrestrial palynomorphs]) is markedly depleted within the Schattwald Beds to values lower than 0.2. By contrast,</w:t>
      </w:r>
      <w:r>
        <w:t xml:space="preserve"> </w:t>
      </w:r>
      <w:r>
        <w:rPr>
          <w:i/>
        </w:rPr>
        <w:t>f</w:t>
      </w:r>
      <w:r>
        <w:rPr>
          <w:vertAlign w:val="subscript"/>
        </w:rPr>
        <w:t>marine</w:t>
      </w:r>
      <w:r>
        <w:t xml:space="preserve"> values of 0.17±0.13 (mean and SD) are encountered in the Bonenburg material, with only minimal variation throughout the investigated sequence. In addition, palynomorphs make-up only 0.12±0.09 (mean and SD) of all counted organic particles (</w:t>
      </w:r>
      <w:r>
        <w:rPr>
          <w:i/>
        </w:rPr>
        <w:t>f</w:t>
      </w:r>
      <w:r>
        <w:rPr>
          <w:vertAlign w:val="subscript"/>
        </w:rPr>
        <w:t>palyno</w:t>
      </w:r>
      <w:r>
        <w:rPr>
          <w:vertAlign w:val="subscript"/>
        </w:rPr>
        <w:t>morph</w:t>
      </w:r>
      <w:r>
        <w:t xml:space="preserve"> = palnomorphs / total organic particles), whereas wood particles account for 0.58±0.23 (mean and SD) of the organic debris in the Bonenburg material (</w:t>
      </w:r>
      <w:r>
        <w:rPr>
          <w:i/>
        </w:rPr>
        <w:t>f</w:t>
      </w:r>
      <w:r>
        <w:rPr>
          <w:vertAlign w:val="subscript"/>
        </w:rPr>
        <w:t>wood</w:t>
      </w:r>
      <w:r>
        <w:t xml:space="preserve"> = woods fragments / total organic particles).</w:t>
      </w:r>
    </w:p>
    <w:p w:rsidR="006D67BC" w:rsidRDefault="00EB3263">
      <w:pPr>
        <w:pStyle w:val="Compact"/>
      </w:pPr>
      <w:r>
        <w:rPr>
          <w:noProof/>
        </w:rPr>
        <w:drawing>
          <wp:inline distT="0" distB="0" distL="0" distR="0">
            <wp:extent cx="4587290" cy="3669832"/>
            <wp:effectExtent l="0" t="0" r="0" b="0"/>
            <wp:docPr id="3" name="Picture" descr="Stratigraphic plots of total organic carbon based carbon isotope curve, total organic carbon and bulk nitrogen content (cfb stands for carbonate-free basis), molar C to N ratios and the fraction of marine palynomorphs (marine palynomorphs / [marine + terrestrial palynomorphs]) of the Kuhjoch section."/>
            <wp:cNvGraphicFramePr/>
            <a:graphic xmlns:a="http://schemas.openxmlformats.org/drawingml/2006/main">
              <a:graphicData uri="http://schemas.openxmlformats.org/drawingml/2006/picture">
                <pic:pic xmlns:pic="http://schemas.openxmlformats.org/drawingml/2006/picture">
                  <pic:nvPicPr>
                    <pic:cNvPr id="0" name="Picture" descr="Bonenburg_rev_files/figure-docx/FigKuh-1.png"/>
                    <pic:cNvPicPr>
                      <a:picLocks noChangeAspect="1" noChangeArrowheads="1"/>
                    </pic:cNvPicPr>
                  </pic:nvPicPr>
                  <pic:blipFill>
                    <a:blip r:embed="rId10"/>
                    <a:stretch>
                      <a:fillRect/>
                    </a:stretch>
                  </pic:blipFill>
                  <pic:spPr bwMode="auto">
                    <a:xfrm>
                      <a:off x="0" y="0"/>
                      <a:ext cx="4587290" cy="3669832"/>
                    </a:xfrm>
                    <a:prstGeom prst="rect">
                      <a:avLst/>
                    </a:prstGeom>
                    <a:noFill/>
                    <a:ln w="9525">
                      <a:noFill/>
                      <a:headEnd/>
                      <a:tailEnd/>
                    </a:ln>
                  </pic:spPr>
                </pic:pic>
              </a:graphicData>
            </a:graphic>
          </wp:inline>
        </w:drawing>
      </w:r>
    </w:p>
    <w:p w:rsidR="006D67BC" w:rsidRDefault="00EB3263">
      <w:pPr>
        <w:pStyle w:val="Compact"/>
      </w:pPr>
      <w:r>
        <w:t>Fig. 4. Stratigraphic plots of total organic c</w:t>
      </w:r>
      <w:r>
        <w:t>arbon based carbon isotope curve, total organic carbon and bulk nitrogen content (cfb stands for carbonate-free basis), molar C to N ratios and the fraction of marine palynomorphs (marine palynomorphs / [marine + terrestrial palynomorphs]) of the Kuhjoch s</w:t>
      </w:r>
      <w:r>
        <w:t>ection.</w:t>
      </w:r>
    </w:p>
    <w:p w:rsidR="006D67BC" w:rsidRDefault="00EB3263">
      <w:pPr>
        <w:pStyle w:val="Compact"/>
      </w:pPr>
      <w:r>
        <w:rPr>
          <w:noProof/>
        </w:rPr>
        <w:drawing>
          <wp:inline distT="0" distB="0" distL="0" distR="0">
            <wp:extent cx="5943600" cy="4457699"/>
            <wp:effectExtent l="0" t="0" r="0" b="0"/>
            <wp:docPr id="4" name="Picture" descr="Modified A–CN–K ternary diagram cf.(cf. Nesbitt &amp; Young 1984), plotting the molar proportions of Al2O3, Na2O and K2O. The characteristic upper continental crust composition is demarcated by a large black dot. Together with the minerals plagioclase (Pl.), K-feldspar (Ks.), muscovite (Mu.), illite (Il.) and kaolinite (Ka.), these values provide anchor points for evaluating the geochemical trends at Bonenburg and Kuhjoch. Trendlines are drawn for the initial source rock plagioclase to K-feldspar ratio (I), and for plagioclase weathering (II) which is considered to be the initial phase of weathering, based on the observation that K-feldspar is less susceptible to leaching. This is followed by intense weathering and subsequent loss of potassium, forming K-depleted clay minerals (III). The Tr–J element values are corrected for carbonate dilution which might skew the systematics related to the weathering regime of the source substrate. Both the Schattwald Beds and Triletes Beds seem to have been sourced from the most intensely weathered substrates compared with the bracketing strata, which are marked by relatively higher concentrations of potassium and sodium."/>
            <wp:cNvGraphicFramePr/>
            <a:graphic xmlns:a="http://schemas.openxmlformats.org/drawingml/2006/main">
              <a:graphicData uri="http://schemas.openxmlformats.org/drawingml/2006/picture">
                <pic:pic xmlns:pic="http://schemas.openxmlformats.org/drawingml/2006/picture">
                  <pic:nvPicPr>
                    <pic:cNvPr id="0" name="Picture" descr="Bonenburg_rev_files/figure-docx/FigTer-1.png"/>
                    <pic:cNvPicPr>
                      <a:picLocks noChangeAspect="1" noChangeArrowheads="1"/>
                    </pic:cNvPicPr>
                  </pic:nvPicPr>
                  <pic:blipFill>
                    <a:blip r:embed="rId11"/>
                    <a:stretch>
                      <a:fillRect/>
                    </a:stretch>
                  </pic:blipFill>
                  <pic:spPr bwMode="auto">
                    <a:xfrm>
                      <a:off x="0" y="0"/>
                      <a:ext cx="5943600" cy="4457699"/>
                    </a:xfrm>
                    <a:prstGeom prst="rect">
                      <a:avLst/>
                    </a:prstGeom>
                    <a:noFill/>
                    <a:ln w="9525">
                      <a:noFill/>
                      <a:headEnd/>
                      <a:tailEnd/>
                    </a:ln>
                  </pic:spPr>
                </pic:pic>
              </a:graphicData>
            </a:graphic>
          </wp:inline>
        </w:drawing>
      </w:r>
    </w:p>
    <w:p w:rsidR="006D67BC" w:rsidRDefault="00EB3263">
      <w:pPr>
        <w:pStyle w:val="Compact"/>
      </w:pPr>
      <w:r>
        <w:t>Fig. 5. Modified A–CN–K ternary diagram (cf. Nesbitt &amp; Young 1984), plotting the molar proportions of Al</w:t>
      </w:r>
      <w:r>
        <w:rPr>
          <w:vertAlign w:val="subscript"/>
        </w:rPr>
        <w:t>2</w:t>
      </w:r>
      <w:r>
        <w:t>O</w:t>
      </w:r>
      <w:r>
        <w:rPr>
          <w:vertAlign w:val="subscript"/>
        </w:rPr>
        <w:t>3</w:t>
      </w:r>
      <w:r>
        <w:t>, Na</w:t>
      </w:r>
      <w:r>
        <w:rPr>
          <w:vertAlign w:val="subscript"/>
        </w:rPr>
        <w:t>2</w:t>
      </w:r>
      <w:r>
        <w:t>O and K</w:t>
      </w:r>
      <w:r>
        <w:rPr>
          <w:vertAlign w:val="subscript"/>
        </w:rPr>
        <w:t>2</w:t>
      </w:r>
      <w:r>
        <w:t>O. The characteristic upper continental crust composition is demarcated by a large black dot. Together with the minerals plagi</w:t>
      </w:r>
      <w:r>
        <w:t>oclase (Pl.), K-feldspar (Ks.), muscovite (Mu.), illite (Il.) and kaolinite (Ka.), these values provide anchor points for evaluating the geochemical trends at Bonenburg and Kuhjoch. Trendlines are drawn for the initial source rock plagioclase to K-feldspar</w:t>
      </w:r>
      <w:r>
        <w:t xml:space="preserve"> ratio (I), and for plagioclase weathering (II) which is considered to be the initial phase of weathering, based on the observation that K-feldspar is less susceptible to leaching. This is followed by intense weathering and subsequent loss of potassium, fo</w:t>
      </w:r>
      <w:r>
        <w:t>rming K-depleted clay minerals (III). The Tr–J element values are corrected for carbonate dilution which might skew the systematics related to the weathering regime of the source substrate. Both the Schattwald Beds and Triletes Beds seem to have been sourc</w:t>
      </w:r>
      <w:r>
        <w:t>ed from the most intensely weathered substrates compared with the bracketing strata, which are marked by relatively higher concentrations of potassium and sodium.</w:t>
      </w:r>
    </w:p>
    <w:p w:rsidR="006D67BC" w:rsidRDefault="00EB3263">
      <w:pPr>
        <w:pStyle w:val="berschrift1"/>
      </w:pPr>
      <w:bookmarkStart w:id="17" w:name="discussion"/>
      <w:bookmarkEnd w:id="17"/>
      <w:r>
        <w:t>Discussion</w:t>
      </w:r>
    </w:p>
    <w:p w:rsidR="006D67BC" w:rsidRDefault="00EB3263">
      <w:pPr>
        <w:pStyle w:val="berschrift2"/>
      </w:pPr>
      <w:bookmarkStart w:id="18" w:name="a-correlative-framework-for-the-central-"/>
      <w:bookmarkEnd w:id="18"/>
      <w:r>
        <w:t>A correlative framework for the Central European Basin and the western Tethys shelf seas</w:t>
      </w:r>
    </w:p>
    <w:p w:rsidR="006D67BC" w:rsidRDefault="00EB3263">
      <w:pPr>
        <w:pStyle w:val="FirstParagraph"/>
      </w:pPr>
      <w:r>
        <w:rPr>
          <w:b/>
        </w:rPr>
        <w:t>Ammonite zonation</w:t>
      </w:r>
      <w:r>
        <w:t>: Hettangian ammonite biostratigraphy is well established for several regions in Central and Western Europe such as south-western England (e.g. Page &amp;</w:t>
      </w:r>
      <w:r>
        <w:t xml:space="preserve"> Bloos 1998, Bloos &amp; Page 2000, Page 2002), northern Germany (e.g. Lange 1941), south-western Germany (e.g. Wetzel 1929, Blind 1963, Bloos 1999) and the NCA (e.g. Wähner 1886, Lange 1952, Blind 1963, Bloos 2004 , {von Hillebrandt} &amp; Krystyn 2009). Correlat</w:t>
      </w:r>
      <w:r>
        <w:t xml:space="preserve">ion of these regions showed that the Alpine successions are more complete than those of the other regions. Earliest Jurassic ammonite assemblages are characterized by </w:t>
      </w:r>
      <w:r>
        <w:rPr>
          <w:i/>
        </w:rPr>
        <w:t>Psiloceras planorbis</w:t>
      </w:r>
      <w:r>
        <w:t xml:space="preserve"> (</w:t>
      </w:r>
      <w:r>
        <w:rPr>
          <w:i/>
        </w:rPr>
        <w:t>Planorbis</w:t>
      </w:r>
      <w:r>
        <w:t xml:space="preserve"> Subchronozone; Trueman 1922) and in Great Britain can be </w:t>
      </w:r>
      <w:r>
        <w:t xml:space="preserve">subdivided into six biohorizons (Page &amp; Bloos 1998, Page 2002). Less complete successions are known from northern Germany, where the “Psiloceras-Stufe” was subdivided into six zones with </w:t>
      </w:r>
      <w:r>
        <w:rPr>
          <w:i/>
        </w:rPr>
        <w:t>Psiloceras psilonotum</w:t>
      </w:r>
      <w:r>
        <w:t xml:space="preserve">, </w:t>
      </w:r>
      <w:r>
        <w:rPr>
          <w:i/>
        </w:rPr>
        <w:t>Ps. plicatulum</w:t>
      </w:r>
      <w:r>
        <w:t xml:space="preserve"> and various species of </w:t>
      </w:r>
      <w:r>
        <w:rPr>
          <w:i/>
        </w:rPr>
        <w:t>Neophyll</w:t>
      </w:r>
      <w:r>
        <w:rPr>
          <w:i/>
        </w:rPr>
        <w:t>ites</w:t>
      </w:r>
      <w:r>
        <w:t xml:space="preserve"> characterizing the oldest zone (</w:t>
      </w:r>
      <w:r>
        <w:rPr>
          <w:i/>
        </w:rPr>
        <w:t>Psiloceras psilonotum</w:t>
      </w:r>
      <w:r>
        <w:t xml:space="preserve"> Zone). In south-western Germany, Wetzel (1929), Wetzel (1932), and Bloos (1999) identified three fossil assemblages beginning with (1) </w:t>
      </w:r>
      <w:r>
        <w:rPr>
          <w:i/>
        </w:rPr>
        <w:t>Neophyllites imitans</w:t>
      </w:r>
      <w:r>
        <w:t xml:space="preserve"> and </w:t>
      </w:r>
      <w:r>
        <w:rPr>
          <w:i/>
        </w:rPr>
        <w:t>N. antecedens</w:t>
      </w:r>
      <w:r>
        <w:t xml:space="preserve">, (2) </w:t>
      </w:r>
      <w:r>
        <w:rPr>
          <w:i/>
        </w:rPr>
        <w:t>Psiloceras psilono</w:t>
      </w:r>
      <w:r>
        <w:rPr>
          <w:i/>
        </w:rPr>
        <w:t>tum</w:t>
      </w:r>
      <w:r>
        <w:t xml:space="preserve">, rare </w:t>
      </w:r>
      <w:r>
        <w:rPr>
          <w:i/>
        </w:rPr>
        <w:t>Neophyllites becki</w:t>
      </w:r>
      <w:r>
        <w:t xml:space="preserve"> and </w:t>
      </w:r>
      <w:r>
        <w:rPr>
          <w:i/>
        </w:rPr>
        <w:t>Ps. plicatulum</w:t>
      </w:r>
      <w:r>
        <w:t xml:space="preserve">, and (3) </w:t>
      </w:r>
      <w:r>
        <w:rPr>
          <w:i/>
        </w:rPr>
        <w:t>Caloceras franconicum</w:t>
      </w:r>
      <w:r>
        <w:t xml:space="preserve"> and </w:t>
      </w:r>
      <w:r>
        <w:rPr>
          <w:i/>
        </w:rPr>
        <w:t>Curviceras subangulare</w:t>
      </w:r>
      <w:r>
        <w:t xml:space="preserve">. In the NCA, Jurassic ammonite assemblages older than the </w:t>
      </w:r>
      <w:r>
        <w:rPr>
          <w:i/>
        </w:rPr>
        <w:t>Planorbis</w:t>
      </w:r>
      <w:r>
        <w:t xml:space="preserve"> Chronozone were first recognized by {von Hillebrandt} &amp; Krystyn (2009). In this re</w:t>
      </w:r>
      <w:r>
        <w:t xml:space="preserve">spect, the Alpine sections more closely resemble successions in Nevada (Guex et al. 1998, 2004) and Chile ({von Hillebrandt} 2000) where assemblages are characterized by </w:t>
      </w:r>
      <w:r>
        <w:rPr>
          <w:i/>
        </w:rPr>
        <w:t>Psiloceras spelae</w:t>
      </w:r>
      <w:r>
        <w:t xml:space="preserve"> and </w:t>
      </w:r>
      <w:r>
        <w:rPr>
          <w:i/>
        </w:rPr>
        <w:t>Psiloceras tilmanni</w:t>
      </w:r>
      <w:r>
        <w:t>.</w:t>
      </w:r>
    </w:p>
    <w:p w:rsidR="006D67BC" w:rsidRDefault="00EB3263">
      <w:pPr>
        <w:pStyle w:val="Textkrper"/>
      </w:pPr>
      <w:r>
        <w:rPr>
          <w:b/>
        </w:rPr>
        <w:t>Terrestrial palynomorph assemblages</w:t>
      </w:r>
      <w:r>
        <w:t>: Our pa</w:t>
      </w:r>
      <w:r>
        <w:t xml:space="preserve">lynological zonation mainly follows Lund (1977) with respect to the RL- and RP- assemblage zones. Minor differences are related to the Tr–J transition. Barth et al. (2018) suggested the new </w:t>
      </w:r>
      <w:r>
        <w:rPr>
          <w:i/>
        </w:rPr>
        <w:t>Deltoidospora</w:t>
      </w:r>
      <w:r>
        <w:t>-</w:t>
      </w:r>
      <w:r>
        <w:rPr>
          <w:i/>
        </w:rPr>
        <w:t>Concavisporites</w:t>
      </w:r>
      <w:r>
        <w:t xml:space="preserve"> Zone (DC-Zone) to cross the Tr–J tra</w:t>
      </w:r>
      <w:r>
        <w:t xml:space="preserve">nsition incorporating Lund’s topmost upper Rhaetian and the lowermost part of the </w:t>
      </w:r>
      <w:r>
        <w:rPr>
          <w:i/>
        </w:rPr>
        <w:t>Pinuspollenites</w:t>
      </w:r>
      <w:r>
        <w:t>-</w:t>
      </w:r>
      <w:r>
        <w:rPr>
          <w:i/>
        </w:rPr>
        <w:t>Trachysporites</w:t>
      </w:r>
      <w:r>
        <w:t xml:space="preserve"> Zone (PT-Zone). Although in Bonenburg a transitional phase, characterized by elements of both the RP and PiH-Zone is indicated in the uppermost</w:t>
      </w:r>
      <w:r>
        <w:t xml:space="preserve"> part of the Triletes Beds, it does not show a continuous high abundance of </w:t>
      </w:r>
      <w:r>
        <w:rPr>
          <w:i/>
        </w:rPr>
        <w:t>Deltoidospora</w:t>
      </w:r>
      <w:r>
        <w:t xml:space="preserve"> spp. and </w:t>
      </w:r>
      <w:r>
        <w:rPr>
          <w:i/>
        </w:rPr>
        <w:t>Concavisporites</w:t>
      </w:r>
      <w:r>
        <w:t xml:space="preserve"> spp. typical for the new DC-Zone, nor a “transitional spore peak interval” as generally recorded in the CEB (Lund 1977, Barth et al. 2018), S</w:t>
      </w:r>
      <w:r>
        <w:t>weden (Larsson 2009) and the Danish Basin (Lindström et al. 2017a). The increased dominance of pollen over spores can obscure changes in the spore assemblage. However, when examining changes only within the spore assemblage, it becomes apparent that the Bo</w:t>
      </w:r>
      <w:r>
        <w:t xml:space="preserve">nenburg section depicts an increase in ‘spores indet’ along the transition from the RP- to the PiH-Zone. Considering the occurrence of aberrant </w:t>
      </w:r>
      <w:r>
        <w:rPr>
          <w:i/>
        </w:rPr>
        <w:t>Deltoidospora</w:t>
      </w:r>
      <w:r>
        <w:t xml:space="preserve"> spp. and </w:t>
      </w:r>
      <w:r>
        <w:rPr>
          <w:i/>
        </w:rPr>
        <w:t>Concavivsporites</w:t>
      </w:r>
      <w:r>
        <w:t xml:space="preserve"> spp. in the basal Hettangian, as documented in Barth et al. (2018), we c</w:t>
      </w:r>
      <w:r>
        <w:t xml:space="preserve">annot exclude that a number of aberrant </w:t>
      </w:r>
      <w:r>
        <w:rPr>
          <w:i/>
        </w:rPr>
        <w:t>Deltoidospora</w:t>
      </w:r>
      <w:r>
        <w:t xml:space="preserve"> spp. and </w:t>
      </w:r>
      <w:r>
        <w:rPr>
          <w:i/>
        </w:rPr>
        <w:t>Concavivsporites</w:t>
      </w:r>
      <w:r>
        <w:t xml:space="preserve"> spp. is included in ‘spores indet’ in our count that could have been included in these taxa as aberrant forms. Nevertheless, when comparing changes in the overall terrestrial a</w:t>
      </w:r>
      <w:r>
        <w:t>ssemblage, i.e. comparing pollen and spores (also incorporating spores indet) the Bonenburg section does not show the “spore peak” with the same amplitude as recorded by other authors (</w:t>
      </w:r>
      <w:r>
        <w:rPr>
          <w:b/>
        </w:rPr>
        <w:t>???</w:t>
      </w:r>
      <w:r>
        <w:t>, Lund 1977, Heunisch et al. 2010, Barth et al. 2018).</w:t>
      </w:r>
    </w:p>
    <w:p w:rsidR="006D67BC" w:rsidRDefault="00EB3263">
      <w:pPr>
        <w:pStyle w:val="Textkrper"/>
      </w:pPr>
      <w:r>
        <w:t>The palynolog</w:t>
      </w:r>
      <w:r>
        <w:t>ical zonation of the NCA (Kuerschner et al. 2007, Bonis et al. 2009, {von Hillebrandt} et al. 2013) correlates well with the zonation of the CEB (Barth et al. 2018), and this also holds for Bonenburg with minor differences. Comparison of Bonenburg with the</w:t>
      </w:r>
      <w:r>
        <w:t xml:space="preserve"> zonation of Morbey (1975) for the Kendelbach section shows that the base of Morbey’s TK Zone (i.e. the Me-subzone) is characterized by the appearance of </w:t>
      </w:r>
      <w:r>
        <w:rPr>
          <w:i/>
        </w:rPr>
        <w:t>Perinosporites thuringiacus</w:t>
      </w:r>
      <w:r>
        <w:t>, which in Bonenburg, after two singular occurrences in the RL-Zone, occurs</w:t>
      </w:r>
      <w:r>
        <w:t xml:space="preserve"> continuously from the base of the RP-Zone. Compared to the NCA, </w:t>
      </w:r>
      <w:r>
        <w:rPr>
          <w:i/>
        </w:rPr>
        <w:t>Trachysporites</w:t>
      </w:r>
      <w:r>
        <w:t xml:space="preserve"> spp. generally occurs in low abundances in Bonenburg. Low abundances of this genus were also reported from southern Sweden (Larsson 2009), and the respective zone is accordingl</w:t>
      </w:r>
      <w:r>
        <w:t xml:space="preserve">y called </w:t>
      </w:r>
      <w:r>
        <w:rPr>
          <w:i/>
        </w:rPr>
        <w:t>Pinuspollenites</w:t>
      </w:r>
      <w:r>
        <w:t>-</w:t>
      </w:r>
      <w:r>
        <w:rPr>
          <w:i/>
        </w:rPr>
        <w:t>Heliosporites</w:t>
      </w:r>
      <w:r>
        <w:t xml:space="preserve"> Zone, differing from the otherwise commonly used PT/TPi-Zone (Lund 1977, Kuerschner et al. 2007, Bonis et al. 2009, Heunisch et al. 2010, {von Hillebrandt} et al. 2013, Barth et al. 2018). Lund (1977) reported similar</w:t>
      </w:r>
      <w:r>
        <w:t xml:space="preserve">ly scattered and rare occurrences of </w:t>
      </w:r>
      <w:r>
        <w:rPr>
          <w:i/>
        </w:rPr>
        <w:t>Trachysporites</w:t>
      </w:r>
      <w:r>
        <w:t xml:space="preserve"> spp. in the Rhaetian and Hettangian of Eitzendorf close to Bonenburg. There seems to be a general tendency that in the CEB and in the British Rhaetian-Hettangian succession </w:t>
      </w:r>
      <w:r>
        <w:rPr>
          <w:i/>
        </w:rPr>
        <w:t>Trachysporites</w:t>
      </w:r>
      <w:r>
        <w:t xml:space="preserve"> spp. is comparat</w:t>
      </w:r>
      <w:r>
        <w:t xml:space="preserve">ively rare while </w:t>
      </w:r>
      <w:r>
        <w:rPr>
          <w:i/>
        </w:rPr>
        <w:t>Deltoidospora</w:t>
      </w:r>
      <w:r>
        <w:t xml:space="preserve"> spp. is more abundant (Lund 1977, Larsson 2009, Heunisch et al. 2010, Bonis et al. 2010, Barth et al. 2018), as opposed to the western Tethys shelf sections where </w:t>
      </w:r>
      <w:r>
        <w:rPr>
          <w:i/>
        </w:rPr>
        <w:t>Trachysporites</w:t>
      </w:r>
      <w:r>
        <w:t xml:space="preserve"> spp. dominates over </w:t>
      </w:r>
      <w:r>
        <w:rPr>
          <w:i/>
        </w:rPr>
        <w:t>Deltoidospora</w:t>
      </w:r>
      <w:r>
        <w:t xml:space="preserve"> spp. Another </w:t>
      </w:r>
      <w:r>
        <w:t xml:space="preserve">notable difference concerns the subdivision of the interval corresponding to the RP-Zone in the CEB. Kuerschner et al. (2007), Bonis et al. (2009) and {von Hillebrandt} et al. (2013) describe two zones for this interval: the </w:t>
      </w:r>
      <w:r>
        <w:rPr>
          <w:i/>
        </w:rPr>
        <w:t>Rhaetipollis</w:t>
      </w:r>
      <w:r>
        <w:t>-</w:t>
      </w:r>
      <w:r>
        <w:rPr>
          <w:i/>
        </w:rPr>
        <w:t>Porcellispora</w:t>
      </w:r>
      <w:r>
        <w:t xml:space="preserve"> (RPo</w:t>
      </w:r>
      <w:r>
        <w:t xml:space="preserve">) Zone and </w:t>
      </w:r>
      <w:r>
        <w:rPr>
          <w:i/>
        </w:rPr>
        <w:t>Trachysporites</w:t>
      </w:r>
      <w:r>
        <w:t>-</w:t>
      </w:r>
      <w:r>
        <w:rPr>
          <w:i/>
        </w:rPr>
        <w:t>Porcellispora</w:t>
      </w:r>
      <w:r>
        <w:t xml:space="preserve"> (TPo) Zone (see correlation schemes in Bonis et al. 2009, Lindström et al. 2017b, Barth et al. 2018). Like other CEB sections, Bonenburg does not show such changes in spore composition and apart from the described di</w:t>
      </w:r>
      <w:r>
        <w:t>fferences, the Bonenburg section correlates well with the western Tethys shelf sea sections.</w:t>
      </w:r>
    </w:p>
    <w:p w:rsidR="006D67BC" w:rsidRDefault="00EB3263">
      <w:pPr>
        <w:pStyle w:val="Textkrper"/>
      </w:pPr>
      <w:r>
        <w:t>Besides quantitative changes in whole terrestrial pollen assemblages, a few notable FOs and LOs of individual taxa characterize the Tr–J transition. These first an</w:t>
      </w:r>
      <w:r>
        <w:t xml:space="preserve">d last occurrences can be used for correlations with the Alpine realm and beyond. Typical Triassic palynomorphs (e.g. </w:t>
      </w:r>
      <w:r>
        <w:rPr>
          <w:i/>
        </w:rPr>
        <w:t>Lunatisporites rhaeticus</w:t>
      </w:r>
      <w:r>
        <w:t xml:space="preserve">, </w:t>
      </w:r>
      <w:r>
        <w:rPr>
          <w:i/>
        </w:rPr>
        <w:t>Triancoraesporites</w:t>
      </w:r>
      <w:r>
        <w:t xml:space="preserve"> spp.) are still present in the Kössen Formation and the Schattwald Beds. The records of these</w:t>
      </w:r>
      <w:r>
        <w:t xml:space="preserve"> taxa show that they disappear at the top of the RPo-Zone. In St Audrie’s Bay (UK), the LOs of these taxa are towards the top of the Cotham Member of the Lilstock Formation, although they do not disappear exactly synchronously at this level (Warrington et </w:t>
      </w:r>
      <w:r>
        <w:t>al. 1994, Hounslow et al. 2004, Warrington 2005, Bonis et al. 2010). In Bonenburg, the mentioned palynomorphs occur until the upper quarter of the Triletes Beds, which allows correlating the Schattwald Beds with the lower three quarters of the Triletes Bed</w:t>
      </w:r>
      <w:r>
        <w:t>s.</w:t>
      </w:r>
    </w:p>
    <w:p w:rsidR="006D67BC" w:rsidRDefault="00EB3263">
      <w:pPr>
        <w:pStyle w:val="Textkrper"/>
      </w:pPr>
      <w:r>
        <w:t>These findings can be used for a provisional correlation of the CEB and the western Tethys shelf seas deposits and support previous correlations by Lindström et al. (2017b) and (</w:t>
      </w:r>
      <w:r>
        <w:rPr>
          <w:b/>
        </w:rPr>
        <w:t>???</w:t>
      </w:r>
      <w:r>
        <w:t>). This stratigraphic framework, primarily based on lithology,but suppor</w:t>
      </w:r>
      <w:r>
        <w:t>ted by biostratigraphy, enables testing the facies-dependence of the TOC-carbon isotope composition in the Event Beds. Accordingly, in this framework, we suggest a synchronous deposition of the Contorta Beds and Pre-event Beds (of the NCA) and of the Trile</w:t>
      </w:r>
      <w:r>
        <w:t>tes Beds and Schattwald Beds, respectively. However, the Tr–J transitional beds of Bonenburg, and many sites of the CEB, are incomplete around the transition from the Triletes Beds to the Psilonotenton Formation. Hence it remains unknown how the Psilonoten</w:t>
      </w:r>
      <w:r>
        <w:t>ton Formation and the Post-event Beds of the NCA relate within this stratigraphic framework.</w:t>
      </w:r>
    </w:p>
    <w:p w:rsidR="006D67BC" w:rsidRDefault="00EB3263">
      <w:pPr>
        <w:pStyle w:val="berschrift2"/>
      </w:pPr>
      <w:bookmarkStart w:id="19" w:name="organic-matter-sources-and-preservation"/>
      <w:bookmarkEnd w:id="19"/>
      <w:r>
        <w:t>Organic matter sources and preservation</w:t>
      </w:r>
    </w:p>
    <w:p w:rsidR="006D67BC" w:rsidRDefault="00EB3263">
      <w:pPr>
        <w:pStyle w:val="FirstParagraph"/>
      </w:pPr>
      <w:r>
        <w:t xml:space="preserve">An evaluation of organic matter sources and preservation is required in order to determine the potential of stratigraphic </w:t>
      </w:r>
      <m:oMath>
        <m:r>
          <w:rPr>
            <w:rFonts w:ascii="Cambria Math" w:hAnsi="Cambria Math"/>
          </w:rPr>
          <m:t>δ</m:t>
        </m:r>
      </m:oMath>
      <w:r>
        <w:rPr>
          <w:vertAlign w:val="superscript"/>
        </w:rPr>
        <w:t>13</w:t>
      </w:r>
      <w:r>
        <w:t>C</w:t>
      </w:r>
      <w:r>
        <w:rPr>
          <w:vertAlign w:val="subscript"/>
        </w:rPr>
        <w:t>TOC</w:t>
      </w:r>
      <w:r>
        <w:t xml:space="preserve"> variations to faithfully represent temporal changes in the isotope composition of the Late Triassic to Early Jurassic atmosphere/ocean system. By establishing that the sections show distinct changes in lithology, floral and faunal composition and </w:t>
      </w:r>
      <w:r>
        <w:t>mineralogy, we highlight the necessity to evaluate the organic matter composition. A clay mineralogical shift to more K-depleted minerals in the Event Beds invokes a changing weathering regime that, in turn, could have been accompanied by an organic matter</w:t>
      </w:r>
      <w:r>
        <w:t xml:space="preserve"> source shift, where, for instance, marine and terrestrial OC end-members are usually characterised by different C isotope compositions (</w:t>
      </w:r>
      <w:r>
        <w:rPr>
          <w:b/>
        </w:rPr>
        <w:t>???</w:t>
      </w:r>
      <w:r>
        <w:t>, (</w:t>
      </w:r>
      <w:r>
        <w:rPr>
          <w:b/>
        </w:rPr>
        <w:t>???</w:t>
      </w:r>
      <w:r>
        <w:t xml:space="preserve">), Arthur et al. 1985, Hayes et al. 1999). Moreover, during greenhouse conditions the C isotope fractionation </w:t>
      </w:r>
      <w:r>
        <w:t xml:space="preserve">associated with metabolism of C3 land-plants is diminished, forming </w:t>
      </w:r>
      <w:r>
        <w:rPr>
          <w:vertAlign w:val="superscript"/>
        </w:rPr>
        <w:t>13</w:t>
      </w:r>
      <w:r>
        <w:t>C-enriched OC (</w:t>
      </w:r>
      <w:r>
        <w:rPr>
          <w:b/>
        </w:rPr>
        <w:t>???</w:t>
      </w:r>
      <w:r>
        <w:t xml:space="preserve">, Arthur et al. 1985). Hence, an enhanced influx of terrestrial sourced organic compounds in a Tr–J greenhouse world could explain the </w:t>
      </w:r>
      <w:r>
        <w:rPr>
          <w:vertAlign w:val="superscript"/>
        </w:rPr>
        <w:t>13</w:t>
      </w:r>
      <w:r>
        <w:t xml:space="preserve">C-enriched Events Beds, and an </w:t>
      </w:r>
      <w:r>
        <w:t>assessment of the organic matter composition is therefore desirable.</w:t>
      </w:r>
    </w:p>
    <w:p w:rsidR="006D67BC" w:rsidRDefault="00EB3263">
      <w:pPr>
        <w:pStyle w:val="Textkrper"/>
      </w:pPr>
      <w:r>
        <w:t xml:space="preserve">The sediment’s TOC and TN are frequently used parameters to assess the fidelity of </w:t>
      </w:r>
      <m:oMath>
        <m:r>
          <w:rPr>
            <w:rFonts w:ascii="Cambria Math" w:hAnsi="Cambria Math"/>
          </w:rPr>
          <m:t>δ</m:t>
        </m:r>
      </m:oMath>
      <w:r>
        <w:rPr>
          <w:vertAlign w:val="superscript"/>
        </w:rPr>
        <w:t>13</w:t>
      </w:r>
      <w:r>
        <w:t>C</w:t>
      </w:r>
      <w:r>
        <w:rPr>
          <w:vertAlign w:val="subscript"/>
        </w:rPr>
        <w:t>TOC</w:t>
      </w:r>
      <w:r>
        <w:t xml:space="preserve">, as they can allude to the primary OC sources (e.g. Ruhl et al. 2010). Especially the ratio of </w:t>
      </w:r>
      <w:r>
        <w:t>sedimentary C to N is often considered as a property to distinguish between the relative proportions of terrestrial and marine end-members contributing to the total pool of organic matter, where marine organic matter is more-enriched in N-bearing compounds</w:t>
      </w:r>
      <w:r>
        <w:t xml:space="preserve"> (C/N = 5–7) relative to terrestrial organics (C/N &gt; 20) (De Lange 1992, Meyers 1994, Schubert &amp; Calvert 2001). In a similar fashion, the palynological count data, in terms of the absolute or relative proportions of marine versus terrestrial elements, is c</w:t>
      </w:r>
      <w:r>
        <w:t>onsidered to reflect the major contributing OC sources (e.g. Bonis et al. 2010). These parameters do, however, have inherent limitations, and an evaluation of their specific fidelity is required to assess their effectiveness in tracking source-induced stra</w:t>
      </w:r>
      <w:r>
        <w:t xml:space="preserve">tigraphic </w:t>
      </w:r>
      <m:oMath>
        <m:r>
          <w:rPr>
            <w:rFonts w:ascii="Cambria Math" w:hAnsi="Cambria Math"/>
          </w:rPr>
          <m:t>δ</m:t>
        </m:r>
      </m:oMath>
      <w:r>
        <w:rPr>
          <w:vertAlign w:val="superscript"/>
        </w:rPr>
        <w:t>13</w:t>
      </w:r>
      <w:r>
        <w:t>C</w:t>
      </w:r>
      <w:r>
        <w:rPr>
          <w:vertAlign w:val="subscript"/>
        </w:rPr>
        <w:t>TOC</w:t>
      </w:r>
      <w:r>
        <w:t xml:space="preserve"> variations.</w:t>
      </w:r>
    </w:p>
    <w:p w:rsidR="006D67BC" w:rsidRDefault="00EB3263">
      <w:pPr>
        <w:pStyle w:val="Textkrper"/>
      </w:pPr>
      <w:r>
        <w:t xml:space="preserve">Crossplots of palynofacies, palynomorph, elemental and isotope data reveal distinct correlative trends, where </w:t>
      </w:r>
      <m:oMath>
        <m:r>
          <w:rPr>
            <w:rFonts w:ascii="Cambria Math" w:hAnsi="Cambria Math"/>
          </w:rPr>
          <m:t>δ</m:t>
        </m:r>
      </m:oMath>
      <w:r>
        <w:rPr>
          <w:vertAlign w:val="superscript"/>
        </w:rPr>
        <w:t>13</w:t>
      </w:r>
      <w:r>
        <w:t>C</w:t>
      </w:r>
      <w:r>
        <w:rPr>
          <w:vertAlign w:val="subscript"/>
        </w:rPr>
        <w:t>TOC</w:t>
      </w:r>
      <w:r>
        <w:t xml:space="preserve"> displays a pronounced negative correlation with TOC</w:t>
      </w:r>
      <w:r>
        <w:rPr>
          <w:vertAlign w:val="subscript"/>
        </w:rPr>
        <w:t>cfb</w:t>
      </w:r>
      <w:r>
        <w:t xml:space="preserve">, reproducible for both localities (Fig 6 and Table </w:t>
      </w:r>
      <w:r>
        <w:t xml:space="preserve">1). In addition, there is clear differentiation in the co-variance of </w:t>
      </w:r>
      <m:oMath>
        <m:r>
          <w:rPr>
            <w:rFonts w:ascii="Cambria Math" w:hAnsi="Cambria Math"/>
          </w:rPr>
          <m:t>δ</m:t>
        </m:r>
      </m:oMath>
      <w:r>
        <w:rPr>
          <w:vertAlign w:val="superscript"/>
        </w:rPr>
        <w:t>13</w:t>
      </w:r>
      <w:r>
        <w:t>C</w:t>
      </w:r>
      <w:r>
        <w:rPr>
          <w:vertAlign w:val="subscript"/>
        </w:rPr>
        <w:t>TOC</w:t>
      </w:r>
      <w:r>
        <w:t xml:space="preserve"> with TOC</w:t>
      </w:r>
      <w:r>
        <w:rPr>
          <w:vertAlign w:val="subscript"/>
        </w:rPr>
        <w:t>cfb</w:t>
      </w:r>
      <w:r>
        <w:t xml:space="preserve"> according to lithological units, where the Schattwald Beds and Triletes Beds plot in a distinctive area of the Cartesian coordinate system. These relationships sugge</w:t>
      </w:r>
      <w:r>
        <w:t>st a control of the organic substrate on the C isotope composition. Significant positive linear trends can be observed between log</w:t>
      </w:r>
      <w:r>
        <w:rPr>
          <w:vertAlign w:val="subscript"/>
        </w:rPr>
        <w:t>10</w:t>
      </w:r>
      <w:r>
        <w:t>(TOC</w:t>
      </w:r>
      <w:r>
        <w:rPr>
          <w:vertAlign w:val="subscript"/>
        </w:rPr>
        <w:t>cfb</w:t>
      </w:r>
      <w:r>
        <w:t>) and log</w:t>
      </w:r>
      <w:r>
        <w:rPr>
          <w:vertAlign w:val="subscript"/>
        </w:rPr>
        <w:t>10</w:t>
      </w:r>
      <w:r>
        <w:t>(TN</w:t>
      </w:r>
      <w:r>
        <w:rPr>
          <w:vertAlign w:val="subscript"/>
        </w:rPr>
        <w:t>cfb</w:t>
      </w:r>
      <w:r>
        <w:t>) (Table 1) suggesting that these bio-essential elements have a common source, and an ad hoc interpr</w:t>
      </w:r>
      <w:r>
        <w:t>etation would regard this feature to be representative for a lack of significant changes in the organic matter source. These simplistic views on C/N are complicated by the log</w:t>
      </w:r>
      <w:r>
        <w:rPr>
          <w:vertAlign w:val="subscript"/>
        </w:rPr>
        <w:t>10</w:t>
      </w:r>
      <w:r>
        <w:t>(C/N), which also positively correlates with log</w:t>
      </w:r>
      <w:r>
        <w:rPr>
          <w:vertAlign w:val="subscript"/>
        </w:rPr>
        <w:t>10</w:t>
      </w:r>
      <w:r>
        <w:t>(TOC</w:t>
      </w:r>
      <w:r>
        <w:rPr>
          <w:vertAlign w:val="subscript"/>
        </w:rPr>
        <w:t>cfb</w:t>
      </w:r>
      <w:r>
        <w:t>) (Fig 6 and Table 1).</w:t>
      </w:r>
      <w:r>
        <w:t xml:space="preserve"> The linear relationships on a log-log plot for these parameters might approach a power law, and hence describe proportional changes across orders of magnitude. This suggests that stratigraphic trends towards elevated TOC and C/N are of a larger amplitude </w:t>
      </w:r>
      <w:r>
        <w:t>when compared with constituent TN variations which are relatively dampened. As such, the linear relationships on the log-log plots for TN–TOC and C/N–TOC can be explained by an increased input of organic matter that predispositions subsequent degradation o</w:t>
      </w:r>
      <w:r>
        <w:t>f accumulated organic substrates towards more labile N-bearing organic matter compounds (Twichell et al. 2002, Arndt et al. 2013). Nevertheless, many factors determine the long-term diagenetic stabilization of sedimentary organic matter. For example, sedim</w:t>
      </w:r>
      <w:r>
        <w:t>entation rates, mineral surfaces, and sorption to minerals are potential factors that can control organic matter preservation (Hedges &amp; Keil 1995).</w:t>
      </w:r>
    </w:p>
    <w:p w:rsidR="006D67BC" w:rsidRDefault="00EB3263">
      <w:pPr>
        <w:pStyle w:val="Textkrper"/>
      </w:pPr>
      <w:r>
        <w:t>Further complexities are evident in the co-variance of K/Al and log</w:t>
      </w:r>
      <w:r>
        <w:rPr>
          <w:vertAlign w:val="subscript"/>
        </w:rPr>
        <w:t>10</w:t>
      </w:r>
      <w:r>
        <w:t>(TN</w:t>
      </w:r>
      <w:r>
        <w:rPr>
          <w:vertAlign w:val="subscript"/>
        </w:rPr>
        <w:t>cfb</w:t>
      </w:r>
      <w:r>
        <w:t>), which reveal a strong correlat</w:t>
      </w:r>
      <w:r>
        <w:t>ion and a clear separation of the sample space according to the major lithological units (Fig 6 and Table 1). Similar correlations have been related to the ability of ammonium to substitute for potassium in clay minerals, as the ionic radius of both cation</w:t>
      </w:r>
      <w:r>
        <w:t>s is about the same (De Lange 1992). This non-exchangeable ammonium (or clay-bound NH</w:t>
      </w:r>
      <w:r>
        <w:rPr>
          <w:vertAlign w:val="subscript"/>
        </w:rPr>
        <w:t>4</w:t>
      </w:r>
      <w:r>
        <w:rPr>
          <w:vertAlign w:val="superscript"/>
        </w:rPr>
        <w:t>+</w:t>
      </w:r>
      <w:r>
        <w:t>) is most common in illite and rare in kaolinite. Comparably strong correlations between K/Al and nitrogen have been observed for modern marine sediments and have been e</w:t>
      </w:r>
      <w:r>
        <w:t>xplained by the illite content of these substrates. These patterns suggest that reduced illite content (relative to kaolinite) in the Triletes Beds could explain the depleted TN content. If correct, we can deduce that TN reflects the contribution of clay-b</w:t>
      </w:r>
      <w:r>
        <w:t>ound ammonium, and the strong relation of TN with TOC has other underlying mechanisms than commonly inferred for non-fixed N sources. Weathering and sediment transport-related effects might be responsible for the diminished clay-bound N content of the Tril</w:t>
      </w:r>
      <w:r>
        <w:t>etes Beds. With increased continental weathering (Zajzon et al. 2012), elevated siliciclastic input could have diluted the organic matter flux, thereby explaining the low TOC content of the Event Beds. Dilution of organic matter by siliciclastic material i</w:t>
      </w:r>
      <w:r>
        <w:t>s a phenomenon observed in modern deltaic environments (Hedges &amp; Keil 1995).</w:t>
      </w:r>
    </w:p>
    <w:p w:rsidR="006D67BC" w:rsidRDefault="00EB3263">
      <w:pPr>
        <w:pStyle w:val="Textkrper"/>
      </w:pPr>
      <w:r>
        <w:t xml:space="preserve">Relative contributions of marine versus terrestrial palynomorphs correlate poorly with </w:t>
      </w:r>
      <m:oMath>
        <m:r>
          <w:rPr>
            <w:rFonts w:ascii="Cambria Math" w:hAnsi="Cambria Math"/>
          </w:rPr>
          <m:t>δ</m:t>
        </m:r>
      </m:oMath>
      <w:r>
        <w:rPr>
          <w:vertAlign w:val="superscript"/>
        </w:rPr>
        <w:t>13</w:t>
      </w:r>
      <w:r>
        <w:t>C</w:t>
      </w:r>
      <w:r>
        <w:rPr>
          <w:vertAlign w:val="subscript"/>
        </w:rPr>
        <w:t>TOC</w:t>
      </w:r>
      <w:r>
        <w:t xml:space="preserve"> (Table 1), and variation of </w:t>
      </w:r>
      <w:r>
        <w:rPr>
          <w:i/>
        </w:rPr>
        <w:t>f</w:t>
      </w:r>
      <w:r>
        <w:rPr>
          <w:vertAlign w:val="subscript"/>
        </w:rPr>
        <w:t>marine</w:t>
      </w:r>
      <w:r>
        <w:t xml:space="preserve"> stays in a relatively narrow range (0.17±0.13 [</w:t>
      </w:r>
      <w:r>
        <w:t xml:space="preserve">mean and SD] of the total palynomorph pool, and </w:t>
      </w:r>
      <w:r>
        <w:rPr>
          <w:i/>
        </w:rPr>
        <w:t>f</w:t>
      </w:r>
      <w:r>
        <w:rPr>
          <w:vertAlign w:val="subscript"/>
        </w:rPr>
        <w:t>palynomorphs</w:t>
      </w:r>
      <w:r>
        <w:t xml:space="preserve"> account for 0.12±0.09 [mean and SD] for Bonenburg, Fig 3 ). Combined, these observations suggest that commonly made inferences, based on TOC, TN and the relative contribution of marine palynomor</w:t>
      </w:r>
      <w:r>
        <w:t>phs , are either inconclusive in identifying potential sedimentary OC source shifts, or invoke insignificant changes in the relative contribution of marine versus terrestrial OC, at least, within the framework of this study. This exercise therefore shows t</w:t>
      </w:r>
      <w:r>
        <w:t>hat TOC, TN, and the fraction of marine palynomorphs, are less than perfect parameters to elucidate the source and diagenetic pathways of sedimentary organic carbon for this setting. Notable is the connection of clay mineralogy with TN, and C/N, and the as</w:t>
      </w:r>
      <w:r>
        <w:t>sociated assertion that clay-bound NH</w:t>
      </w:r>
      <w:r>
        <w:rPr>
          <w:vertAlign w:val="subscript"/>
        </w:rPr>
        <w:t>4</w:t>
      </w:r>
      <w:r>
        <w:rPr>
          <w:vertAlign w:val="superscript"/>
        </w:rPr>
        <w:t>+</w:t>
      </w:r>
      <w:r>
        <w:t xml:space="preserve"> is an important source of N. This complicates inferences on the major source of organic matter, notably the relative contributions of marine versus terrestrial end-members. It, therefore, leaves open the question whe</w:t>
      </w:r>
      <w:r>
        <w:t>ther the precursor organic carbon pool was dominated by marine or terrestrial OC constituents.</w:t>
      </w:r>
    </w:p>
    <w:p w:rsidR="006D67BC" w:rsidRDefault="00EB3263">
      <w:pPr>
        <w:pStyle w:val="Compact"/>
      </w:pPr>
      <w:r>
        <w:rPr>
          <w:noProof/>
        </w:rPr>
        <w:drawing>
          <wp:inline distT="0" distB="0" distL="0" distR="0">
            <wp:extent cx="5504749" cy="5504749"/>
            <wp:effectExtent l="0" t="0" r="0" b="0"/>
            <wp:docPr id="5" name="Picture" descr="Cross plots of \delta13CTOC, TN and C/N versus TOC, fraction of marine palynomorphs (marine palynomorphs / [marine + terrestrial palynomorphs]), fraction of wood fragments (woods fragments / total organic particles) and K/Al for Kuhjoch (diamonds) and Bonenburg (dots)."/>
            <wp:cNvGraphicFramePr/>
            <a:graphic xmlns:a="http://schemas.openxmlformats.org/drawingml/2006/main">
              <a:graphicData uri="http://schemas.openxmlformats.org/drawingml/2006/picture">
                <pic:pic xmlns:pic="http://schemas.openxmlformats.org/drawingml/2006/picture">
                  <pic:nvPicPr>
                    <pic:cNvPr id="0" name="Picture" descr="Bonenburg_rev_files/figure-docx/FigCross%20-1.png"/>
                    <pic:cNvPicPr>
                      <a:picLocks noChangeAspect="1" noChangeArrowheads="1"/>
                    </pic:cNvPicPr>
                  </pic:nvPicPr>
                  <pic:blipFill>
                    <a:blip r:embed="rId12"/>
                    <a:stretch>
                      <a:fillRect/>
                    </a:stretch>
                  </pic:blipFill>
                  <pic:spPr bwMode="auto">
                    <a:xfrm>
                      <a:off x="0" y="0"/>
                      <a:ext cx="5504749" cy="5504749"/>
                    </a:xfrm>
                    <a:prstGeom prst="rect">
                      <a:avLst/>
                    </a:prstGeom>
                    <a:noFill/>
                    <a:ln w="9525">
                      <a:noFill/>
                      <a:headEnd/>
                      <a:tailEnd/>
                    </a:ln>
                  </pic:spPr>
                </pic:pic>
              </a:graphicData>
            </a:graphic>
          </wp:inline>
        </w:drawing>
      </w:r>
    </w:p>
    <w:p w:rsidR="006D67BC" w:rsidRDefault="00EB3263">
      <w:pPr>
        <w:pStyle w:val="Compact"/>
      </w:pPr>
      <w:r>
        <w:t xml:space="preserve">Fig. 6. Cross plots of </w:t>
      </w:r>
      <m:oMath>
        <m:r>
          <w:rPr>
            <w:rFonts w:ascii="Cambria Math" w:hAnsi="Cambria Math"/>
          </w:rPr>
          <m:t>δ</m:t>
        </m:r>
      </m:oMath>
      <w:r>
        <w:rPr>
          <w:vertAlign w:val="superscript"/>
        </w:rPr>
        <w:t>13</w:t>
      </w:r>
      <w:r>
        <w:t>C</w:t>
      </w:r>
      <w:r>
        <w:rPr>
          <w:vertAlign w:val="subscript"/>
        </w:rPr>
        <w:t>TOC</w:t>
      </w:r>
      <w:r>
        <w:t>, TN and C/N versus TOC, fraction of marine palynomorphs (marine palynomorphs / [marine + terrestrial palynomorphs]), fraction of wood fragments (woods fragments / total organic particles) and K/Al for Kuhjoch (diamonds) and Bonenburg (dots).</w:t>
      </w:r>
    </w:p>
    <w:p w:rsidR="006D67BC" w:rsidRDefault="006D67BC">
      <w:pPr>
        <w:pStyle w:val="Textkrper"/>
      </w:pPr>
    </w:p>
    <w:p w:rsidR="006D67BC" w:rsidRDefault="00EB3263">
      <w:pPr>
        <w:pStyle w:val="TableCaption"/>
      </w:pPr>
      <w:r>
        <w:t>Table 1: Res</w:t>
      </w:r>
      <w:r>
        <w:t>ults of linear model fitting.</w:t>
      </w:r>
    </w:p>
    <w:tbl>
      <w:tblPr>
        <w:tblW w:w="0" w:type="pct"/>
        <w:tblLook w:val="07E0" w:firstRow="1" w:lastRow="1" w:firstColumn="1" w:lastColumn="1" w:noHBand="1" w:noVBand="1"/>
        <w:tblCaption w:val="Table 1: Results of linear model fitting."/>
      </w:tblPr>
      <w:tblGrid>
        <w:gridCol w:w="1097"/>
        <w:gridCol w:w="1790"/>
        <w:gridCol w:w="1650"/>
        <w:gridCol w:w="917"/>
        <w:gridCol w:w="1067"/>
        <w:gridCol w:w="567"/>
        <w:gridCol w:w="722"/>
      </w:tblGrid>
      <w:tr w:rsidR="006D67BC">
        <w:tc>
          <w:tcPr>
            <w:tcW w:w="0" w:type="auto"/>
            <w:tcBorders>
              <w:bottom w:val="single" w:sz="0" w:space="0" w:color="auto"/>
            </w:tcBorders>
            <w:vAlign w:val="bottom"/>
          </w:tcPr>
          <w:p w:rsidR="006D67BC" w:rsidRDefault="00EB3263">
            <w:pPr>
              <w:pStyle w:val="Compact"/>
            </w:pPr>
            <w:r>
              <w:t>Section</w:t>
            </w:r>
          </w:p>
        </w:tc>
        <w:tc>
          <w:tcPr>
            <w:tcW w:w="0" w:type="auto"/>
            <w:tcBorders>
              <w:bottom w:val="single" w:sz="0" w:space="0" w:color="auto"/>
            </w:tcBorders>
            <w:vAlign w:val="bottom"/>
          </w:tcPr>
          <w:p w:rsidR="006D67BC" w:rsidRDefault="00EB3263">
            <w:pPr>
              <w:pStyle w:val="Compact"/>
            </w:pPr>
            <w:r>
              <w:t>x</w:t>
            </w:r>
          </w:p>
        </w:tc>
        <w:tc>
          <w:tcPr>
            <w:tcW w:w="0" w:type="auto"/>
            <w:tcBorders>
              <w:bottom w:val="single" w:sz="0" w:space="0" w:color="auto"/>
            </w:tcBorders>
            <w:vAlign w:val="bottom"/>
          </w:tcPr>
          <w:p w:rsidR="006D67BC" w:rsidRDefault="00EB3263">
            <w:pPr>
              <w:pStyle w:val="Compact"/>
            </w:pPr>
            <w:r>
              <w:t>y</w:t>
            </w:r>
          </w:p>
        </w:tc>
        <w:tc>
          <w:tcPr>
            <w:tcW w:w="0" w:type="auto"/>
            <w:tcBorders>
              <w:bottom w:val="single" w:sz="0" w:space="0" w:color="auto"/>
            </w:tcBorders>
            <w:vAlign w:val="bottom"/>
          </w:tcPr>
          <w:p w:rsidR="006D67BC" w:rsidRDefault="00EB3263">
            <w:pPr>
              <w:pStyle w:val="Compact"/>
            </w:pPr>
            <w:r>
              <w:t>Intercept</w:t>
            </w:r>
          </w:p>
        </w:tc>
        <w:tc>
          <w:tcPr>
            <w:tcW w:w="0" w:type="auto"/>
            <w:tcBorders>
              <w:bottom w:val="single" w:sz="0" w:space="0" w:color="auto"/>
            </w:tcBorders>
            <w:vAlign w:val="bottom"/>
          </w:tcPr>
          <w:p w:rsidR="006D67BC" w:rsidRDefault="00EB3263">
            <w:pPr>
              <w:pStyle w:val="Compact"/>
            </w:pPr>
            <w:r>
              <w:t>Coefficient</w:t>
            </w:r>
          </w:p>
        </w:tc>
        <w:tc>
          <w:tcPr>
            <w:tcW w:w="0" w:type="auto"/>
            <w:tcBorders>
              <w:bottom w:val="single" w:sz="0" w:space="0" w:color="auto"/>
            </w:tcBorders>
            <w:vAlign w:val="bottom"/>
          </w:tcPr>
          <w:p w:rsidR="006D67BC" w:rsidRDefault="00EB3263">
            <w:pPr>
              <w:pStyle w:val="Compact"/>
            </w:pPr>
            <w:r>
              <w:t>r</w:t>
            </w:r>
            <w:r>
              <w:rPr>
                <w:vertAlign w:val="superscript"/>
              </w:rPr>
              <w:t>2</w:t>
            </w:r>
          </w:p>
        </w:tc>
        <w:tc>
          <w:tcPr>
            <w:tcW w:w="0" w:type="auto"/>
            <w:tcBorders>
              <w:bottom w:val="single" w:sz="0" w:space="0" w:color="auto"/>
            </w:tcBorders>
            <w:vAlign w:val="bottom"/>
          </w:tcPr>
          <w:p w:rsidR="006D67BC" w:rsidRDefault="00EB3263">
            <w:pPr>
              <w:pStyle w:val="Compact"/>
            </w:pPr>
            <w:r>
              <w:t>p</w:t>
            </w:r>
          </w:p>
        </w:tc>
      </w:tr>
      <w:tr w:rsidR="006D67BC">
        <w:tc>
          <w:tcPr>
            <w:tcW w:w="0" w:type="auto"/>
          </w:tcPr>
          <w:p w:rsidR="006D67BC" w:rsidRDefault="00EB3263">
            <w:pPr>
              <w:pStyle w:val="Compact"/>
            </w:pPr>
            <w:r>
              <w:t>Bonenburg</w:t>
            </w:r>
          </w:p>
        </w:tc>
        <w:tc>
          <w:tcPr>
            <w:tcW w:w="0" w:type="auto"/>
          </w:tcPr>
          <w:p w:rsidR="006D67BC" w:rsidRDefault="00EB3263">
            <w:pPr>
              <w:pStyle w:val="Compact"/>
            </w:pPr>
            <w:r>
              <w:t>log</w:t>
            </w:r>
            <w:r>
              <w:rPr>
                <w:vertAlign w:val="subscript"/>
              </w:rPr>
              <w:t>10</w:t>
            </w:r>
            <w:r>
              <w:t>(TOC</w:t>
            </w:r>
            <w:r>
              <w:rPr>
                <w:vertAlign w:val="subscript"/>
              </w:rPr>
              <w:t>cfb</w:t>
            </w:r>
            <w:r>
              <w:t>[wt. %])</w:t>
            </w:r>
          </w:p>
        </w:tc>
        <w:tc>
          <w:tcPr>
            <w:tcW w:w="0" w:type="auto"/>
          </w:tcPr>
          <w:p w:rsidR="006D67BC" w:rsidRDefault="00EB3263">
            <w:pPr>
              <w:pStyle w:val="Compact"/>
            </w:pPr>
            <m:oMath>
              <m:r>
                <w:rPr>
                  <w:rFonts w:ascii="Cambria Math" w:hAnsi="Cambria Math"/>
                </w:rPr>
                <m:t>δ</m:t>
              </m:r>
            </m:oMath>
            <w:r>
              <w:rPr>
                <w:vertAlign w:val="superscript"/>
              </w:rPr>
              <w:t>13</w:t>
            </w:r>
            <w:r>
              <w:t>C</w:t>
            </w:r>
            <w:r>
              <w:rPr>
                <w:vertAlign w:val="subscript"/>
              </w:rPr>
              <w:t>TOC</w:t>
            </w:r>
          </w:p>
        </w:tc>
        <w:tc>
          <w:tcPr>
            <w:tcW w:w="0" w:type="auto"/>
          </w:tcPr>
          <w:p w:rsidR="006D67BC" w:rsidRDefault="00EB3263">
            <w:pPr>
              <w:pStyle w:val="Compact"/>
            </w:pPr>
            <w:r>
              <w:t>-26.35</w:t>
            </w:r>
          </w:p>
        </w:tc>
        <w:tc>
          <w:tcPr>
            <w:tcW w:w="0" w:type="auto"/>
          </w:tcPr>
          <w:p w:rsidR="006D67BC" w:rsidRDefault="00EB3263">
            <w:pPr>
              <w:pStyle w:val="Compact"/>
            </w:pPr>
            <w:r>
              <w:t>-3.97</w:t>
            </w:r>
          </w:p>
        </w:tc>
        <w:tc>
          <w:tcPr>
            <w:tcW w:w="0" w:type="auto"/>
          </w:tcPr>
          <w:p w:rsidR="006D67BC" w:rsidRDefault="00EB3263">
            <w:pPr>
              <w:pStyle w:val="Compact"/>
            </w:pPr>
            <w:r>
              <w:t>0.78</w:t>
            </w:r>
          </w:p>
        </w:tc>
        <w:tc>
          <w:tcPr>
            <w:tcW w:w="0" w:type="auto"/>
          </w:tcPr>
          <w:p w:rsidR="006D67BC" w:rsidRDefault="00EB3263">
            <w:pPr>
              <w:pStyle w:val="Compact"/>
            </w:pPr>
            <w:r>
              <w:t>&lt; 0.05</w:t>
            </w:r>
          </w:p>
        </w:tc>
      </w:tr>
      <w:tr w:rsidR="006D67BC">
        <w:tc>
          <w:tcPr>
            <w:tcW w:w="0" w:type="auto"/>
          </w:tcPr>
          <w:p w:rsidR="006D67BC" w:rsidRDefault="006D67BC">
            <w:pPr>
              <w:pStyle w:val="Compact"/>
            </w:pPr>
          </w:p>
        </w:tc>
        <w:tc>
          <w:tcPr>
            <w:tcW w:w="0" w:type="auto"/>
          </w:tcPr>
          <w:p w:rsidR="006D67BC" w:rsidRDefault="00EB3263">
            <w:pPr>
              <w:pStyle w:val="Compact"/>
            </w:pPr>
            <w:r>
              <w:t>log</w:t>
            </w:r>
            <w:r>
              <w:rPr>
                <w:vertAlign w:val="subscript"/>
              </w:rPr>
              <w:t>10</w:t>
            </w:r>
            <w:r>
              <w:t>(TOC</w:t>
            </w:r>
            <w:r>
              <w:rPr>
                <w:vertAlign w:val="subscript"/>
              </w:rPr>
              <w:t>cfb</w:t>
            </w:r>
            <w:r>
              <w:t>[wt. %])</w:t>
            </w:r>
          </w:p>
        </w:tc>
        <w:tc>
          <w:tcPr>
            <w:tcW w:w="0" w:type="auto"/>
          </w:tcPr>
          <w:p w:rsidR="006D67BC" w:rsidRDefault="00EB3263">
            <w:pPr>
              <w:pStyle w:val="Compact"/>
            </w:pPr>
            <w:r>
              <w:t>log</w:t>
            </w:r>
            <w:r>
              <w:rPr>
                <w:vertAlign w:val="subscript"/>
              </w:rPr>
              <w:t>10</w:t>
            </w:r>
            <w:r>
              <w:t>(TN</w:t>
            </w:r>
            <w:r>
              <w:rPr>
                <w:vertAlign w:val="subscript"/>
              </w:rPr>
              <w:t>cfb</w:t>
            </w:r>
            <w:r>
              <w:t>[wt. %])</w:t>
            </w:r>
          </w:p>
        </w:tc>
        <w:tc>
          <w:tcPr>
            <w:tcW w:w="0" w:type="auto"/>
          </w:tcPr>
          <w:p w:rsidR="006D67BC" w:rsidRDefault="00EB3263">
            <w:pPr>
              <w:pStyle w:val="Compact"/>
            </w:pPr>
            <w:r>
              <w:t>-1.21</w:t>
            </w:r>
          </w:p>
        </w:tc>
        <w:tc>
          <w:tcPr>
            <w:tcW w:w="0" w:type="auto"/>
          </w:tcPr>
          <w:p w:rsidR="006D67BC" w:rsidRDefault="00EB3263">
            <w:pPr>
              <w:pStyle w:val="Compact"/>
            </w:pPr>
            <w:r>
              <w:t>0.38</w:t>
            </w:r>
          </w:p>
        </w:tc>
        <w:tc>
          <w:tcPr>
            <w:tcW w:w="0" w:type="auto"/>
          </w:tcPr>
          <w:p w:rsidR="006D67BC" w:rsidRDefault="00EB3263">
            <w:pPr>
              <w:pStyle w:val="Compact"/>
            </w:pPr>
            <w:r>
              <w:t>0.60</w:t>
            </w:r>
          </w:p>
        </w:tc>
        <w:tc>
          <w:tcPr>
            <w:tcW w:w="0" w:type="auto"/>
          </w:tcPr>
          <w:p w:rsidR="006D67BC" w:rsidRDefault="00EB3263">
            <w:pPr>
              <w:pStyle w:val="Compact"/>
            </w:pPr>
            <w:r>
              <w:t>&lt; 0.05</w:t>
            </w:r>
          </w:p>
        </w:tc>
      </w:tr>
      <w:tr w:rsidR="006D67BC">
        <w:tc>
          <w:tcPr>
            <w:tcW w:w="0" w:type="auto"/>
          </w:tcPr>
          <w:p w:rsidR="006D67BC" w:rsidRDefault="006D67BC">
            <w:pPr>
              <w:pStyle w:val="Compact"/>
            </w:pPr>
          </w:p>
        </w:tc>
        <w:tc>
          <w:tcPr>
            <w:tcW w:w="0" w:type="auto"/>
          </w:tcPr>
          <w:p w:rsidR="006D67BC" w:rsidRDefault="00EB3263">
            <w:pPr>
              <w:pStyle w:val="Compact"/>
            </w:pPr>
            <w:r>
              <w:t>log</w:t>
            </w:r>
            <w:r>
              <w:rPr>
                <w:vertAlign w:val="subscript"/>
              </w:rPr>
              <w:t>10</w:t>
            </w:r>
            <w:r>
              <w:t>(TOC</w:t>
            </w:r>
            <w:r>
              <w:rPr>
                <w:vertAlign w:val="subscript"/>
              </w:rPr>
              <w:t>cfb</w:t>
            </w:r>
            <w:r>
              <w:t>[wt. %])</w:t>
            </w:r>
          </w:p>
        </w:tc>
        <w:tc>
          <w:tcPr>
            <w:tcW w:w="0" w:type="auto"/>
          </w:tcPr>
          <w:p w:rsidR="006D67BC" w:rsidRDefault="00EB3263">
            <w:pPr>
              <w:pStyle w:val="Compact"/>
            </w:pPr>
            <w:r>
              <w:t>log</w:t>
            </w:r>
            <w:r>
              <w:rPr>
                <w:vertAlign w:val="subscript"/>
              </w:rPr>
              <w:t>10</w:t>
            </w:r>
            <w:r>
              <w:t>(C/N [molar])</w:t>
            </w:r>
          </w:p>
        </w:tc>
        <w:tc>
          <w:tcPr>
            <w:tcW w:w="0" w:type="auto"/>
          </w:tcPr>
          <w:p w:rsidR="006D67BC" w:rsidRDefault="00EB3263">
            <w:pPr>
              <w:pStyle w:val="Compact"/>
            </w:pPr>
            <w:r>
              <w:t>1.28</w:t>
            </w:r>
          </w:p>
        </w:tc>
        <w:tc>
          <w:tcPr>
            <w:tcW w:w="0" w:type="auto"/>
          </w:tcPr>
          <w:p w:rsidR="006D67BC" w:rsidRDefault="00EB3263">
            <w:pPr>
              <w:pStyle w:val="Compact"/>
            </w:pPr>
            <w:r>
              <w:t>0.62</w:t>
            </w:r>
          </w:p>
        </w:tc>
        <w:tc>
          <w:tcPr>
            <w:tcW w:w="0" w:type="auto"/>
          </w:tcPr>
          <w:p w:rsidR="006D67BC" w:rsidRDefault="00EB3263">
            <w:pPr>
              <w:pStyle w:val="Compact"/>
            </w:pPr>
            <w:r>
              <w:t>0.80</w:t>
            </w:r>
          </w:p>
        </w:tc>
        <w:tc>
          <w:tcPr>
            <w:tcW w:w="0" w:type="auto"/>
          </w:tcPr>
          <w:p w:rsidR="006D67BC" w:rsidRDefault="00EB3263">
            <w:pPr>
              <w:pStyle w:val="Compact"/>
            </w:pPr>
            <w:r>
              <w:t>&lt; 0.05</w:t>
            </w:r>
          </w:p>
        </w:tc>
      </w:tr>
      <w:tr w:rsidR="006D67BC">
        <w:tc>
          <w:tcPr>
            <w:tcW w:w="0" w:type="auto"/>
          </w:tcPr>
          <w:p w:rsidR="006D67BC" w:rsidRDefault="006D67BC">
            <w:pPr>
              <w:pStyle w:val="Compact"/>
            </w:pPr>
          </w:p>
        </w:tc>
        <w:tc>
          <w:tcPr>
            <w:tcW w:w="0" w:type="auto"/>
          </w:tcPr>
          <w:p w:rsidR="006D67BC" w:rsidRDefault="00EB3263">
            <w:pPr>
              <w:pStyle w:val="Compact"/>
            </w:pPr>
            <w:r>
              <w:t>K/Al [atomic]</w:t>
            </w:r>
          </w:p>
        </w:tc>
        <w:tc>
          <w:tcPr>
            <w:tcW w:w="0" w:type="auto"/>
          </w:tcPr>
          <w:p w:rsidR="006D67BC" w:rsidRDefault="00EB3263">
            <w:pPr>
              <w:pStyle w:val="Compact"/>
            </w:pPr>
            <m:oMath>
              <m:r>
                <w:rPr>
                  <w:rFonts w:ascii="Cambria Math" w:hAnsi="Cambria Math"/>
                </w:rPr>
                <m:t>δ</m:t>
              </m:r>
            </m:oMath>
            <w:r>
              <w:rPr>
                <w:vertAlign w:val="superscript"/>
              </w:rPr>
              <w:t>13</w:t>
            </w:r>
            <w:r>
              <w:t>C</w:t>
            </w:r>
            <w:r>
              <w:rPr>
                <w:vertAlign w:val="subscript"/>
              </w:rPr>
              <w:t>TOC</w:t>
            </w:r>
          </w:p>
        </w:tc>
        <w:tc>
          <w:tcPr>
            <w:tcW w:w="0" w:type="auto"/>
          </w:tcPr>
          <w:p w:rsidR="006D67BC" w:rsidRDefault="00EB3263">
            <w:pPr>
              <w:pStyle w:val="Compact"/>
            </w:pPr>
            <w:r>
              <w:t>-19.79</w:t>
            </w:r>
          </w:p>
        </w:tc>
        <w:tc>
          <w:tcPr>
            <w:tcW w:w="0" w:type="auto"/>
          </w:tcPr>
          <w:p w:rsidR="006D67BC" w:rsidRDefault="00EB3263">
            <w:pPr>
              <w:pStyle w:val="Compact"/>
            </w:pPr>
            <w:r>
              <w:t>-21.28</w:t>
            </w:r>
          </w:p>
        </w:tc>
        <w:tc>
          <w:tcPr>
            <w:tcW w:w="0" w:type="auto"/>
          </w:tcPr>
          <w:p w:rsidR="006D67BC" w:rsidRDefault="00EB3263">
            <w:pPr>
              <w:pStyle w:val="Compact"/>
            </w:pPr>
            <w:r>
              <w:t>0.46</w:t>
            </w:r>
          </w:p>
        </w:tc>
        <w:tc>
          <w:tcPr>
            <w:tcW w:w="0" w:type="auto"/>
          </w:tcPr>
          <w:p w:rsidR="006D67BC" w:rsidRDefault="00EB3263">
            <w:pPr>
              <w:pStyle w:val="Compact"/>
            </w:pPr>
            <w:r>
              <w:t>&lt; 0.05</w:t>
            </w:r>
          </w:p>
        </w:tc>
      </w:tr>
      <w:tr w:rsidR="006D67BC">
        <w:tc>
          <w:tcPr>
            <w:tcW w:w="0" w:type="auto"/>
          </w:tcPr>
          <w:p w:rsidR="006D67BC" w:rsidRDefault="006D67BC">
            <w:pPr>
              <w:pStyle w:val="Compact"/>
            </w:pPr>
          </w:p>
        </w:tc>
        <w:tc>
          <w:tcPr>
            <w:tcW w:w="0" w:type="auto"/>
          </w:tcPr>
          <w:p w:rsidR="006D67BC" w:rsidRDefault="00EB3263">
            <w:pPr>
              <w:pStyle w:val="Compact"/>
            </w:pPr>
            <w:r>
              <w:t>K/Al [atomic]</w:t>
            </w:r>
          </w:p>
        </w:tc>
        <w:tc>
          <w:tcPr>
            <w:tcW w:w="0" w:type="auto"/>
          </w:tcPr>
          <w:p w:rsidR="006D67BC" w:rsidRDefault="00EB3263">
            <w:pPr>
              <w:pStyle w:val="Compact"/>
            </w:pPr>
            <w:r>
              <w:t>log</w:t>
            </w:r>
            <w:r>
              <w:rPr>
                <w:vertAlign w:val="subscript"/>
              </w:rPr>
              <w:t>10</w:t>
            </w:r>
            <w:r>
              <w:t>(TN</w:t>
            </w:r>
            <w:r>
              <w:rPr>
                <w:vertAlign w:val="subscript"/>
              </w:rPr>
              <w:t>cfb</w:t>
            </w:r>
            <w:r>
              <w:t>[wt. %])</w:t>
            </w:r>
          </w:p>
        </w:tc>
        <w:tc>
          <w:tcPr>
            <w:tcW w:w="0" w:type="auto"/>
          </w:tcPr>
          <w:p w:rsidR="006D67BC" w:rsidRDefault="00EB3263">
            <w:pPr>
              <w:pStyle w:val="Compact"/>
            </w:pPr>
            <w:r>
              <w:t>-1.72</w:t>
            </w:r>
          </w:p>
        </w:tc>
        <w:tc>
          <w:tcPr>
            <w:tcW w:w="0" w:type="auto"/>
          </w:tcPr>
          <w:p w:rsidR="006D67BC" w:rsidRDefault="00EB3263">
            <w:pPr>
              <w:pStyle w:val="Compact"/>
            </w:pPr>
            <w:r>
              <w:t>1.66</w:t>
            </w:r>
          </w:p>
        </w:tc>
        <w:tc>
          <w:tcPr>
            <w:tcW w:w="0" w:type="auto"/>
          </w:tcPr>
          <w:p w:rsidR="006D67BC" w:rsidRDefault="00EB3263">
            <w:pPr>
              <w:pStyle w:val="Compact"/>
            </w:pPr>
            <w:r>
              <w:t>0.24</w:t>
            </w:r>
          </w:p>
        </w:tc>
        <w:tc>
          <w:tcPr>
            <w:tcW w:w="0" w:type="auto"/>
          </w:tcPr>
          <w:p w:rsidR="006D67BC" w:rsidRDefault="00EB3263">
            <w:pPr>
              <w:pStyle w:val="Compact"/>
            </w:pPr>
            <w:r>
              <w:t>&lt; 0.05</w:t>
            </w:r>
          </w:p>
        </w:tc>
      </w:tr>
      <w:tr w:rsidR="006D67BC">
        <w:tc>
          <w:tcPr>
            <w:tcW w:w="0" w:type="auto"/>
          </w:tcPr>
          <w:p w:rsidR="006D67BC" w:rsidRDefault="006D67BC">
            <w:pPr>
              <w:pStyle w:val="Compact"/>
            </w:pPr>
          </w:p>
        </w:tc>
        <w:tc>
          <w:tcPr>
            <w:tcW w:w="0" w:type="auto"/>
          </w:tcPr>
          <w:p w:rsidR="006D67BC" w:rsidRDefault="00EB3263">
            <w:pPr>
              <w:pStyle w:val="Compact"/>
            </w:pPr>
            <w:r>
              <w:t>K/Al [atomic]</w:t>
            </w:r>
          </w:p>
        </w:tc>
        <w:tc>
          <w:tcPr>
            <w:tcW w:w="0" w:type="auto"/>
          </w:tcPr>
          <w:p w:rsidR="006D67BC" w:rsidRDefault="00EB3263">
            <w:pPr>
              <w:pStyle w:val="Compact"/>
            </w:pPr>
            <w:r>
              <w:t>log</w:t>
            </w:r>
            <w:r>
              <w:rPr>
                <w:vertAlign w:val="subscript"/>
              </w:rPr>
              <w:t>10</w:t>
            </w:r>
            <w:r>
              <w:t>(C/N [molar])</w:t>
            </w:r>
          </w:p>
        </w:tc>
        <w:tc>
          <w:tcPr>
            <w:tcW w:w="0" w:type="auto"/>
          </w:tcPr>
          <w:p w:rsidR="006D67BC" w:rsidRDefault="00EB3263">
            <w:pPr>
              <w:pStyle w:val="Compact"/>
            </w:pPr>
            <w:r>
              <w:t>0.47</w:t>
            </w:r>
          </w:p>
        </w:tc>
        <w:tc>
          <w:tcPr>
            <w:tcW w:w="0" w:type="auto"/>
          </w:tcPr>
          <w:p w:rsidR="006D67BC" w:rsidRDefault="00EB3263">
            <w:pPr>
              <w:pStyle w:val="Compact"/>
            </w:pPr>
            <w:r>
              <w:t>2.63</w:t>
            </w:r>
          </w:p>
        </w:tc>
        <w:tc>
          <w:tcPr>
            <w:tcW w:w="0" w:type="auto"/>
          </w:tcPr>
          <w:p w:rsidR="006D67BC" w:rsidRDefault="00EB3263">
            <w:pPr>
              <w:pStyle w:val="Compact"/>
            </w:pPr>
            <w:r>
              <w:t>0.31</w:t>
            </w:r>
          </w:p>
        </w:tc>
        <w:tc>
          <w:tcPr>
            <w:tcW w:w="0" w:type="auto"/>
          </w:tcPr>
          <w:p w:rsidR="006D67BC" w:rsidRDefault="00EB3263">
            <w:pPr>
              <w:pStyle w:val="Compact"/>
            </w:pPr>
            <w:r>
              <w:t>&lt; 0.05</w:t>
            </w:r>
          </w:p>
        </w:tc>
      </w:tr>
      <w:tr w:rsidR="006D67BC">
        <w:tc>
          <w:tcPr>
            <w:tcW w:w="0" w:type="auto"/>
          </w:tcPr>
          <w:p w:rsidR="006D67BC" w:rsidRDefault="006D67BC">
            <w:pPr>
              <w:pStyle w:val="Compact"/>
            </w:pPr>
          </w:p>
        </w:tc>
        <w:tc>
          <w:tcPr>
            <w:tcW w:w="0" w:type="auto"/>
          </w:tcPr>
          <w:p w:rsidR="006D67BC" w:rsidRDefault="00EB3263">
            <w:pPr>
              <w:pStyle w:val="Compact"/>
            </w:pPr>
            <w:r>
              <w:t>f</w:t>
            </w:r>
            <w:r>
              <w:rPr>
                <w:vertAlign w:val="subscript"/>
              </w:rPr>
              <w:t>marine</w:t>
            </w:r>
          </w:p>
        </w:tc>
        <w:tc>
          <w:tcPr>
            <w:tcW w:w="0" w:type="auto"/>
          </w:tcPr>
          <w:p w:rsidR="006D67BC" w:rsidRDefault="00EB3263">
            <w:pPr>
              <w:pStyle w:val="Compact"/>
            </w:pPr>
            <m:oMath>
              <m:r>
                <w:rPr>
                  <w:rFonts w:ascii="Cambria Math" w:hAnsi="Cambria Math"/>
                </w:rPr>
                <m:t>δ</m:t>
              </m:r>
            </m:oMath>
            <w:r>
              <w:rPr>
                <w:vertAlign w:val="superscript"/>
              </w:rPr>
              <w:t>13</w:t>
            </w:r>
            <w:r>
              <w:t>C</w:t>
            </w:r>
            <w:r>
              <w:rPr>
                <w:vertAlign w:val="subscript"/>
              </w:rPr>
              <w:t>TOC</w:t>
            </w:r>
          </w:p>
        </w:tc>
        <w:tc>
          <w:tcPr>
            <w:tcW w:w="0" w:type="auto"/>
          </w:tcPr>
          <w:p w:rsidR="006D67BC" w:rsidRDefault="00EB3263">
            <w:pPr>
              <w:pStyle w:val="Compact"/>
            </w:pPr>
            <w:r>
              <w:t>-24.92</w:t>
            </w:r>
          </w:p>
        </w:tc>
        <w:tc>
          <w:tcPr>
            <w:tcW w:w="0" w:type="auto"/>
          </w:tcPr>
          <w:p w:rsidR="006D67BC" w:rsidRDefault="00EB3263">
            <w:pPr>
              <w:pStyle w:val="Compact"/>
            </w:pPr>
            <w:r>
              <w:t>-4.81</w:t>
            </w:r>
          </w:p>
        </w:tc>
        <w:tc>
          <w:tcPr>
            <w:tcW w:w="0" w:type="auto"/>
          </w:tcPr>
          <w:p w:rsidR="006D67BC" w:rsidRDefault="00EB3263">
            <w:pPr>
              <w:pStyle w:val="Compact"/>
            </w:pPr>
            <w:r>
              <w:t>0.10</w:t>
            </w:r>
          </w:p>
        </w:tc>
        <w:tc>
          <w:tcPr>
            <w:tcW w:w="0" w:type="auto"/>
          </w:tcPr>
          <w:p w:rsidR="006D67BC" w:rsidRDefault="00EB3263">
            <w:pPr>
              <w:pStyle w:val="Compact"/>
            </w:pPr>
            <w:r>
              <w:t>0.06</w:t>
            </w:r>
          </w:p>
        </w:tc>
      </w:tr>
      <w:tr w:rsidR="006D67BC">
        <w:tc>
          <w:tcPr>
            <w:tcW w:w="0" w:type="auto"/>
          </w:tcPr>
          <w:p w:rsidR="006D67BC" w:rsidRDefault="006D67BC">
            <w:pPr>
              <w:pStyle w:val="Compact"/>
            </w:pPr>
          </w:p>
        </w:tc>
        <w:tc>
          <w:tcPr>
            <w:tcW w:w="0" w:type="auto"/>
          </w:tcPr>
          <w:p w:rsidR="006D67BC" w:rsidRDefault="00EB3263">
            <w:pPr>
              <w:pStyle w:val="Compact"/>
            </w:pPr>
            <w:r>
              <w:t>f</w:t>
            </w:r>
            <w:r>
              <w:rPr>
                <w:vertAlign w:val="subscript"/>
              </w:rPr>
              <w:t>marine</w:t>
            </w:r>
          </w:p>
        </w:tc>
        <w:tc>
          <w:tcPr>
            <w:tcW w:w="0" w:type="auto"/>
          </w:tcPr>
          <w:p w:rsidR="006D67BC" w:rsidRDefault="00EB3263">
            <w:pPr>
              <w:pStyle w:val="Compact"/>
            </w:pPr>
            <w:r>
              <w:t>log</w:t>
            </w:r>
            <w:r>
              <w:rPr>
                <w:vertAlign w:val="subscript"/>
              </w:rPr>
              <w:t>10</w:t>
            </w:r>
            <w:r>
              <w:t>(TN</w:t>
            </w:r>
            <w:r>
              <w:rPr>
                <w:vertAlign w:val="subscript"/>
              </w:rPr>
              <w:t>cfb</w:t>
            </w:r>
            <w:r>
              <w:t>[wt. %])</w:t>
            </w:r>
          </w:p>
        </w:tc>
        <w:tc>
          <w:tcPr>
            <w:tcW w:w="0" w:type="auto"/>
          </w:tcPr>
          <w:p w:rsidR="006D67BC" w:rsidRDefault="00EB3263">
            <w:pPr>
              <w:pStyle w:val="Compact"/>
            </w:pPr>
            <w:r>
              <w:t>-1.29</w:t>
            </w:r>
          </w:p>
        </w:tc>
        <w:tc>
          <w:tcPr>
            <w:tcW w:w="0" w:type="auto"/>
          </w:tcPr>
          <w:p w:rsidR="006D67BC" w:rsidRDefault="00EB3263">
            <w:pPr>
              <w:pStyle w:val="Compact"/>
            </w:pPr>
            <w:r>
              <w:t>0.30</w:t>
            </w:r>
          </w:p>
        </w:tc>
        <w:tc>
          <w:tcPr>
            <w:tcW w:w="0" w:type="auto"/>
          </w:tcPr>
          <w:p w:rsidR="006D67BC" w:rsidRDefault="00EB3263">
            <w:pPr>
              <w:pStyle w:val="Compact"/>
            </w:pPr>
            <w:r>
              <w:t>0.05</w:t>
            </w:r>
          </w:p>
        </w:tc>
        <w:tc>
          <w:tcPr>
            <w:tcW w:w="0" w:type="auto"/>
          </w:tcPr>
          <w:p w:rsidR="006D67BC" w:rsidRDefault="00EB3263">
            <w:pPr>
              <w:pStyle w:val="Compact"/>
            </w:pPr>
            <w:r>
              <w:t>0.23</w:t>
            </w:r>
          </w:p>
        </w:tc>
      </w:tr>
      <w:tr w:rsidR="006D67BC">
        <w:tc>
          <w:tcPr>
            <w:tcW w:w="0" w:type="auto"/>
          </w:tcPr>
          <w:p w:rsidR="006D67BC" w:rsidRDefault="006D67BC">
            <w:pPr>
              <w:pStyle w:val="Compact"/>
            </w:pPr>
          </w:p>
        </w:tc>
        <w:tc>
          <w:tcPr>
            <w:tcW w:w="0" w:type="auto"/>
          </w:tcPr>
          <w:p w:rsidR="006D67BC" w:rsidRDefault="00EB3263">
            <w:pPr>
              <w:pStyle w:val="Compact"/>
            </w:pPr>
            <w:r>
              <w:t>f</w:t>
            </w:r>
            <w:r>
              <w:rPr>
                <w:vertAlign w:val="subscript"/>
              </w:rPr>
              <w:t>marine</w:t>
            </w:r>
          </w:p>
        </w:tc>
        <w:tc>
          <w:tcPr>
            <w:tcW w:w="0" w:type="auto"/>
          </w:tcPr>
          <w:p w:rsidR="006D67BC" w:rsidRDefault="00EB3263">
            <w:pPr>
              <w:pStyle w:val="Compact"/>
            </w:pPr>
            <w:r>
              <w:t>log</w:t>
            </w:r>
            <w:r>
              <w:rPr>
                <w:vertAlign w:val="subscript"/>
              </w:rPr>
              <w:t>10</w:t>
            </w:r>
            <w:r>
              <w:t>(C/N [molar])</w:t>
            </w:r>
          </w:p>
        </w:tc>
        <w:tc>
          <w:tcPr>
            <w:tcW w:w="0" w:type="auto"/>
          </w:tcPr>
          <w:p w:rsidR="006D67BC" w:rsidRDefault="00EB3263">
            <w:pPr>
              <w:pStyle w:val="Compact"/>
            </w:pPr>
            <w:r>
              <w:t>16.41</w:t>
            </w:r>
          </w:p>
        </w:tc>
        <w:tc>
          <w:tcPr>
            <w:tcW w:w="0" w:type="auto"/>
          </w:tcPr>
          <w:p w:rsidR="006D67BC" w:rsidRDefault="00EB3263">
            <w:pPr>
              <w:pStyle w:val="Compact"/>
            </w:pPr>
            <w:r>
              <w:t>28.91</w:t>
            </w:r>
          </w:p>
        </w:tc>
        <w:tc>
          <w:tcPr>
            <w:tcW w:w="0" w:type="auto"/>
          </w:tcPr>
          <w:p w:rsidR="006D67BC" w:rsidRDefault="00EB3263">
            <w:pPr>
              <w:pStyle w:val="Compact"/>
            </w:pPr>
            <w:r>
              <w:t>0.06</w:t>
            </w:r>
          </w:p>
        </w:tc>
        <w:tc>
          <w:tcPr>
            <w:tcW w:w="0" w:type="auto"/>
          </w:tcPr>
          <w:p w:rsidR="006D67BC" w:rsidRDefault="00EB3263">
            <w:pPr>
              <w:pStyle w:val="Compact"/>
            </w:pPr>
            <w:r>
              <w:t>0.17</w:t>
            </w:r>
          </w:p>
        </w:tc>
      </w:tr>
      <w:tr w:rsidR="006D67BC">
        <w:tc>
          <w:tcPr>
            <w:tcW w:w="0" w:type="auto"/>
          </w:tcPr>
          <w:p w:rsidR="006D67BC" w:rsidRDefault="006D67BC">
            <w:pPr>
              <w:pStyle w:val="Compact"/>
            </w:pPr>
          </w:p>
        </w:tc>
        <w:tc>
          <w:tcPr>
            <w:tcW w:w="0" w:type="auto"/>
          </w:tcPr>
          <w:p w:rsidR="006D67BC" w:rsidRDefault="00EB3263">
            <w:pPr>
              <w:pStyle w:val="Compact"/>
            </w:pPr>
            <w:r>
              <w:t>f</w:t>
            </w:r>
            <w:r>
              <w:rPr>
                <w:vertAlign w:val="subscript"/>
              </w:rPr>
              <w:t>wood</w:t>
            </w:r>
          </w:p>
        </w:tc>
        <w:tc>
          <w:tcPr>
            <w:tcW w:w="0" w:type="auto"/>
          </w:tcPr>
          <w:p w:rsidR="006D67BC" w:rsidRDefault="00EB3263">
            <w:pPr>
              <w:pStyle w:val="Compact"/>
            </w:pPr>
            <m:oMath>
              <m:r>
                <w:rPr>
                  <w:rFonts w:ascii="Cambria Math" w:hAnsi="Cambria Math"/>
                </w:rPr>
                <m:t>δ</m:t>
              </m:r>
            </m:oMath>
            <w:r>
              <w:rPr>
                <w:vertAlign w:val="superscript"/>
              </w:rPr>
              <w:t>13</w:t>
            </w:r>
            <w:r>
              <w:t>C</w:t>
            </w:r>
            <w:r>
              <w:rPr>
                <w:vertAlign w:val="subscript"/>
              </w:rPr>
              <w:t>TOC</w:t>
            </w:r>
          </w:p>
        </w:tc>
        <w:tc>
          <w:tcPr>
            <w:tcW w:w="0" w:type="auto"/>
          </w:tcPr>
          <w:p w:rsidR="006D67BC" w:rsidRDefault="00EB3263">
            <w:pPr>
              <w:pStyle w:val="Compact"/>
            </w:pPr>
            <w:r>
              <w:t>-29.77</w:t>
            </w:r>
          </w:p>
        </w:tc>
        <w:tc>
          <w:tcPr>
            <w:tcW w:w="0" w:type="auto"/>
          </w:tcPr>
          <w:p w:rsidR="006D67BC" w:rsidRDefault="00EB3263">
            <w:pPr>
              <w:pStyle w:val="Compact"/>
            </w:pPr>
            <w:r>
              <w:t>7.24</w:t>
            </w:r>
          </w:p>
        </w:tc>
        <w:tc>
          <w:tcPr>
            <w:tcW w:w="0" w:type="auto"/>
          </w:tcPr>
          <w:p w:rsidR="006D67BC" w:rsidRDefault="00EB3263">
            <w:pPr>
              <w:pStyle w:val="Compact"/>
            </w:pPr>
            <w:r>
              <w:t>0.67</w:t>
            </w:r>
          </w:p>
        </w:tc>
        <w:tc>
          <w:tcPr>
            <w:tcW w:w="0" w:type="auto"/>
          </w:tcPr>
          <w:p w:rsidR="006D67BC" w:rsidRDefault="00EB3263">
            <w:pPr>
              <w:pStyle w:val="Compact"/>
            </w:pPr>
            <w:r>
              <w:t>&lt; 0.05</w:t>
            </w:r>
          </w:p>
        </w:tc>
      </w:tr>
      <w:tr w:rsidR="006D67BC">
        <w:tc>
          <w:tcPr>
            <w:tcW w:w="0" w:type="auto"/>
          </w:tcPr>
          <w:p w:rsidR="006D67BC" w:rsidRDefault="006D67BC">
            <w:pPr>
              <w:pStyle w:val="Compact"/>
            </w:pPr>
          </w:p>
        </w:tc>
        <w:tc>
          <w:tcPr>
            <w:tcW w:w="0" w:type="auto"/>
          </w:tcPr>
          <w:p w:rsidR="006D67BC" w:rsidRDefault="00EB3263">
            <w:pPr>
              <w:pStyle w:val="Compact"/>
            </w:pPr>
            <w:r>
              <w:t>f</w:t>
            </w:r>
            <w:r>
              <w:rPr>
                <w:vertAlign w:val="subscript"/>
              </w:rPr>
              <w:t>wood</w:t>
            </w:r>
          </w:p>
        </w:tc>
        <w:tc>
          <w:tcPr>
            <w:tcW w:w="0" w:type="auto"/>
          </w:tcPr>
          <w:p w:rsidR="006D67BC" w:rsidRDefault="00EB3263">
            <w:pPr>
              <w:pStyle w:val="Compact"/>
            </w:pPr>
            <w:r>
              <w:t>log</w:t>
            </w:r>
            <w:r>
              <w:rPr>
                <w:vertAlign w:val="subscript"/>
              </w:rPr>
              <w:t>10</w:t>
            </w:r>
            <w:r>
              <w:t>(TN</w:t>
            </w:r>
            <w:r>
              <w:rPr>
                <w:vertAlign w:val="subscript"/>
              </w:rPr>
              <w:t>cfb</w:t>
            </w:r>
            <w:r>
              <w:t>[wt. %])</w:t>
            </w:r>
          </w:p>
        </w:tc>
        <w:tc>
          <w:tcPr>
            <w:tcW w:w="0" w:type="auto"/>
          </w:tcPr>
          <w:p w:rsidR="006D67BC" w:rsidRDefault="00EB3263">
            <w:pPr>
              <w:pStyle w:val="Compact"/>
            </w:pPr>
            <w:r>
              <w:t>-1.00</w:t>
            </w:r>
          </w:p>
        </w:tc>
        <w:tc>
          <w:tcPr>
            <w:tcW w:w="0" w:type="auto"/>
          </w:tcPr>
          <w:p w:rsidR="006D67BC" w:rsidRDefault="00EB3263">
            <w:pPr>
              <w:pStyle w:val="Compact"/>
            </w:pPr>
            <w:r>
              <w:t>-0.44</w:t>
            </w:r>
          </w:p>
        </w:tc>
        <w:tc>
          <w:tcPr>
            <w:tcW w:w="0" w:type="auto"/>
          </w:tcPr>
          <w:p w:rsidR="006D67BC" w:rsidRDefault="00EB3263">
            <w:pPr>
              <w:pStyle w:val="Compact"/>
            </w:pPr>
            <w:r>
              <w:t>0.28</w:t>
            </w:r>
          </w:p>
        </w:tc>
        <w:tc>
          <w:tcPr>
            <w:tcW w:w="0" w:type="auto"/>
          </w:tcPr>
          <w:p w:rsidR="006D67BC" w:rsidRDefault="00EB3263">
            <w:pPr>
              <w:pStyle w:val="Compact"/>
            </w:pPr>
            <w:r>
              <w:t>&lt; 0.05</w:t>
            </w:r>
          </w:p>
        </w:tc>
      </w:tr>
      <w:tr w:rsidR="006D67BC">
        <w:tc>
          <w:tcPr>
            <w:tcW w:w="0" w:type="auto"/>
          </w:tcPr>
          <w:p w:rsidR="006D67BC" w:rsidRDefault="006D67BC">
            <w:pPr>
              <w:pStyle w:val="Compact"/>
            </w:pPr>
          </w:p>
        </w:tc>
        <w:tc>
          <w:tcPr>
            <w:tcW w:w="0" w:type="auto"/>
          </w:tcPr>
          <w:p w:rsidR="006D67BC" w:rsidRDefault="00EB3263">
            <w:pPr>
              <w:pStyle w:val="Compact"/>
            </w:pPr>
            <w:r>
              <w:t>f</w:t>
            </w:r>
            <w:r>
              <w:rPr>
                <w:vertAlign w:val="subscript"/>
              </w:rPr>
              <w:t>wood</w:t>
            </w:r>
          </w:p>
        </w:tc>
        <w:tc>
          <w:tcPr>
            <w:tcW w:w="0" w:type="auto"/>
          </w:tcPr>
          <w:p w:rsidR="006D67BC" w:rsidRDefault="00EB3263">
            <w:pPr>
              <w:pStyle w:val="Compact"/>
            </w:pPr>
            <w:r>
              <w:t>log</w:t>
            </w:r>
            <w:r>
              <w:rPr>
                <w:vertAlign w:val="subscript"/>
              </w:rPr>
              <w:t>10</w:t>
            </w:r>
            <w:r>
              <w:t>(C/N [molar])</w:t>
            </w:r>
          </w:p>
        </w:tc>
        <w:tc>
          <w:tcPr>
            <w:tcW w:w="0" w:type="auto"/>
          </w:tcPr>
          <w:p w:rsidR="006D67BC" w:rsidRDefault="00EB3263">
            <w:pPr>
              <w:pStyle w:val="Compact"/>
            </w:pPr>
            <w:r>
              <w:t>45.54</w:t>
            </w:r>
          </w:p>
        </w:tc>
        <w:tc>
          <w:tcPr>
            <w:tcW w:w="0" w:type="auto"/>
          </w:tcPr>
          <w:p w:rsidR="006D67BC" w:rsidRDefault="00EB3263">
            <w:pPr>
              <w:pStyle w:val="Compact"/>
            </w:pPr>
            <w:r>
              <w:t>-43.88</w:t>
            </w:r>
          </w:p>
        </w:tc>
        <w:tc>
          <w:tcPr>
            <w:tcW w:w="0" w:type="auto"/>
          </w:tcPr>
          <w:p w:rsidR="006D67BC" w:rsidRDefault="00EB3263">
            <w:pPr>
              <w:pStyle w:val="Compact"/>
            </w:pPr>
            <w:r>
              <w:t>0.41</w:t>
            </w:r>
          </w:p>
        </w:tc>
        <w:tc>
          <w:tcPr>
            <w:tcW w:w="0" w:type="auto"/>
          </w:tcPr>
          <w:p w:rsidR="006D67BC" w:rsidRDefault="00EB3263">
            <w:pPr>
              <w:pStyle w:val="Compact"/>
            </w:pPr>
            <w:r>
              <w:t>&lt; 0.05</w:t>
            </w:r>
          </w:p>
        </w:tc>
      </w:tr>
      <w:tr w:rsidR="006D67BC">
        <w:tc>
          <w:tcPr>
            <w:tcW w:w="0" w:type="auto"/>
          </w:tcPr>
          <w:p w:rsidR="006D67BC" w:rsidRDefault="00EB3263">
            <w:pPr>
              <w:pStyle w:val="Compact"/>
            </w:pPr>
            <w:r>
              <w:t>Kuhjoch</w:t>
            </w:r>
          </w:p>
        </w:tc>
        <w:tc>
          <w:tcPr>
            <w:tcW w:w="0" w:type="auto"/>
          </w:tcPr>
          <w:p w:rsidR="006D67BC" w:rsidRDefault="00EB3263">
            <w:pPr>
              <w:pStyle w:val="Compact"/>
            </w:pPr>
            <w:r>
              <w:t>log</w:t>
            </w:r>
            <w:r>
              <w:rPr>
                <w:vertAlign w:val="subscript"/>
              </w:rPr>
              <w:t>10</w:t>
            </w:r>
            <w:r>
              <w:t>(TOC</w:t>
            </w:r>
            <w:r>
              <w:rPr>
                <w:vertAlign w:val="subscript"/>
              </w:rPr>
              <w:t>cfb</w:t>
            </w:r>
            <w:r>
              <w:t>[wt. %])</w:t>
            </w:r>
          </w:p>
        </w:tc>
        <w:tc>
          <w:tcPr>
            <w:tcW w:w="0" w:type="auto"/>
          </w:tcPr>
          <w:p w:rsidR="006D67BC" w:rsidRDefault="00EB3263">
            <w:pPr>
              <w:pStyle w:val="Compact"/>
            </w:pPr>
            <m:oMath>
              <m:r>
                <w:rPr>
                  <w:rFonts w:ascii="Cambria Math" w:hAnsi="Cambria Math"/>
                </w:rPr>
                <m:t>δ</m:t>
              </m:r>
            </m:oMath>
            <w:r>
              <w:rPr>
                <w:vertAlign w:val="superscript"/>
              </w:rPr>
              <w:t>13</w:t>
            </w:r>
            <w:r>
              <w:t>C</w:t>
            </w:r>
            <w:r>
              <w:rPr>
                <w:vertAlign w:val="subscript"/>
              </w:rPr>
              <w:t>TOC</w:t>
            </w:r>
          </w:p>
        </w:tc>
        <w:tc>
          <w:tcPr>
            <w:tcW w:w="0" w:type="auto"/>
          </w:tcPr>
          <w:p w:rsidR="006D67BC" w:rsidRDefault="00EB3263">
            <w:pPr>
              <w:pStyle w:val="Compact"/>
            </w:pPr>
            <w:r>
              <w:t>-27.53</w:t>
            </w:r>
          </w:p>
        </w:tc>
        <w:tc>
          <w:tcPr>
            <w:tcW w:w="0" w:type="auto"/>
          </w:tcPr>
          <w:p w:rsidR="006D67BC" w:rsidRDefault="00EB3263">
            <w:pPr>
              <w:pStyle w:val="Compact"/>
            </w:pPr>
            <w:r>
              <w:t>-2.18</w:t>
            </w:r>
          </w:p>
        </w:tc>
        <w:tc>
          <w:tcPr>
            <w:tcW w:w="0" w:type="auto"/>
          </w:tcPr>
          <w:p w:rsidR="006D67BC" w:rsidRDefault="00EB3263">
            <w:pPr>
              <w:pStyle w:val="Compact"/>
            </w:pPr>
            <w:r>
              <w:t>0.35</w:t>
            </w:r>
          </w:p>
        </w:tc>
        <w:tc>
          <w:tcPr>
            <w:tcW w:w="0" w:type="auto"/>
          </w:tcPr>
          <w:p w:rsidR="006D67BC" w:rsidRDefault="00EB3263">
            <w:pPr>
              <w:pStyle w:val="Compact"/>
            </w:pPr>
            <w:r>
              <w:t>&lt; 0.05</w:t>
            </w:r>
          </w:p>
        </w:tc>
      </w:tr>
      <w:tr w:rsidR="006D67BC">
        <w:tc>
          <w:tcPr>
            <w:tcW w:w="0" w:type="auto"/>
          </w:tcPr>
          <w:p w:rsidR="006D67BC" w:rsidRDefault="006D67BC">
            <w:pPr>
              <w:pStyle w:val="Compact"/>
            </w:pPr>
          </w:p>
        </w:tc>
        <w:tc>
          <w:tcPr>
            <w:tcW w:w="0" w:type="auto"/>
          </w:tcPr>
          <w:p w:rsidR="006D67BC" w:rsidRDefault="00EB3263">
            <w:pPr>
              <w:pStyle w:val="Compact"/>
            </w:pPr>
            <w:r>
              <w:t>log</w:t>
            </w:r>
            <w:r>
              <w:rPr>
                <w:vertAlign w:val="subscript"/>
              </w:rPr>
              <w:t>10</w:t>
            </w:r>
            <w:r>
              <w:t>(TOC</w:t>
            </w:r>
            <w:r>
              <w:rPr>
                <w:vertAlign w:val="subscript"/>
              </w:rPr>
              <w:t>cfb</w:t>
            </w:r>
            <w:r>
              <w:t>[wt. %])</w:t>
            </w:r>
          </w:p>
        </w:tc>
        <w:tc>
          <w:tcPr>
            <w:tcW w:w="0" w:type="auto"/>
          </w:tcPr>
          <w:p w:rsidR="006D67BC" w:rsidRDefault="00EB3263">
            <w:pPr>
              <w:pStyle w:val="Compact"/>
            </w:pPr>
            <w:r>
              <w:t>log</w:t>
            </w:r>
            <w:r>
              <w:rPr>
                <w:vertAlign w:val="subscript"/>
              </w:rPr>
              <w:t>10</w:t>
            </w:r>
            <w:r>
              <w:t>(TN</w:t>
            </w:r>
            <w:r>
              <w:rPr>
                <w:vertAlign w:val="subscript"/>
              </w:rPr>
              <w:t>cfb</w:t>
            </w:r>
            <w:r>
              <w:t>[wt. %])</w:t>
            </w:r>
          </w:p>
        </w:tc>
        <w:tc>
          <w:tcPr>
            <w:tcW w:w="0" w:type="auto"/>
          </w:tcPr>
          <w:p w:rsidR="006D67BC" w:rsidRDefault="00EB3263">
            <w:pPr>
              <w:pStyle w:val="Compact"/>
            </w:pPr>
            <w:r>
              <w:t>-1.81</w:t>
            </w:r>
          </w:p>
        </w:tc>
        <w:tc>
          <w:tcPr>
            <w:tcW w:w="0" w:type="auto"/>
          </w:tcPr>
          <w:p w:rsidR="006D67BC" w:rsidRDefault="00EB3263">
            <w:pPr>
              <w:pStyle w:val="Compact"/>
            </w:pPr>
            <w:r>
              <w:t>1.20</w:t>
            </w:r>
          </w:p>
        </w:tc>
        <w:tc>
          <w:tcPr>
            <w:tcW w:w="0" w:type="auto"/>
          </w:tcPr>
          <w:p w:rsidR="006D67BC" w:rsidRDefault="00EB3263">
            <w:pPr>
              <w:pStyle w:val="Compact"/>
            </w:pPr>
            <w:r>
              <w:t>0.91</w:t>
            </w:r>
          </w:p>
        </w:tc>
        <w:tc>
          <w:tcPr>
            <w:tcW w:w="0" w:type="auto"/>
          </w:tcPr>
          <w:p w:rsidR="006D67BC" w:rsidRDefault="00EB3263">
            <w:pPr>
              <w:pStyle w:val="Compact"/>
            </w:pPr>
            <w:r>
              <w:t>&lt; 0.05</w:t>
            </w:r>
          </w:p>
        </w:tc>
      </w:tr>
      <w:tr w:rsidR="006D67BC">
        <w:tc>
          <w:tcPr>
            <w:tcW w:w="0" w:type="auto"/>
          </w:tcPr>
          <w:p w:rsidR="006D67BC" w:rsidRDefault="006D67BC">
            <w:pPr>
              <w:pStyle w:val="Compact"/>
            </w:pPr>
          </w:p>
        </w:tc>
        <w:tc>
          <w:tcPr>
            <w:tcW w:w="0" w:type="auto"/>
          </w:tcPr>
          <w:p w:rsidR="006D67BC" w:rsidRDefault="00EB3263">
            <w:pPr>
              <w:pStyle w:val="Compact"/>
            </w:pPr>
            <w:r>
              <w:t>log</w:t>
            </w:r>
            <w:r>
              <w:rPr>
                <w:vertAlign w:val="subscript"/>
              </w:rPr>
              <w:t>10</w:t>
            </w:r>
            <w:r>
              <w:t>(TOC</w:t>
            </w:r>
            <w:r>
              <w:rPr>
                <w:vertAlign w:val="subscript"/>
              </w:rPr>
              <w:t>cfb</w:t>
            </w:r>
            <w:r>
              <w:t>[wt. %])</w:t>
            </w:r>
          </w:p>
        </w:tc>
        <w:tc>
          <w:tcPr>
            <w:tcW w:w="0" w:type="auto"/>
          </w:tcPr>
          <w:p w:rsidR="006D67BC" w:rsidRDefault="00EB3263">
            <w:pPr>
              <w:pStyle w:val="Compact"/>
            </w:pPr>
            <w:r>
              <w:t>log</w:t>
            </w:r>
            <w:r>
              <w:rPr>
                <w:vertAlign w:val="subscript"/>
              </w:rPr>
              <w:t>10</w:t>
            </w:r>
            <w:r>
              <w:t>(C/N [molar])</w:t>
            </w:r>
          </w:p>
        </w:tc>
        <w:tc>
          <w:tcPr>
            <w:tcW w:w="0" w:type="auto"/>
          </w:tcPr>
          <w:p w:rsidR="006D67BC" w:rsidRDefault="00EB3263">
            <w:pPr>
              <w:pStyle w:val="Compact"/>
            </w:pPr>
            <w:r>
              <w:t>1.88</w:t>
            </w:r>
          </w:p>
        </w:tc>
        <w:tc>
          <w:tcPr>
            <w:tcW w:w="0" w:type="auto"/>
          </w:tcPr>
          <w:p w:rsidR="006D67BC" w:rsidRDefault="00EB3263">
            <w:pPr>
              <w:pStyle w:val="Compact"/>
            </w:pPr>
            <w:r>
              <w:t>-0.20</w:t>
            </w:r>
          </w:p>
        </w:tc>
        <w:tc>
          <w:tcPr>
            <w:tcW w:w="0" w:type="auto"/>
          </w:tcPr>
          <w:p w:rsidR="006D67BC" w:rsidRDefault="00EB3263">
            <w:pPr>
              <w:pStyle w:val="Compact"/>
            </w:pPr>
            <w:r>
              <w:t>0.22</w:t>
            </w:r>
          </w:p>
        </w:tc>
        <w:tc>
          <w:tcPr>
            <w:tcW w:w="0" w:type="auto"/>
          </w:tcPr>
          <w:p w:rsidR="006D67BC" w:rsidRDefault="00EB3263">
            <w:pPr>
              <w:pStyle w:val="Compact"/>
            </w:pPr>
            <w:r>
              <w:t>0.15</w:t>
            </w:r>
          </w:p>
        </w:tc>
      </w:tr>
      <w:tr w:rsidR="006D67BC">
        <w:tc>
          <w:tcPr>
            <w:tcW w:w="0" w:type="auto"/>
          </w:tcPr>
          <w:p w:rsidR="006D67BC" w:rsidRDefault="006D67BC">
            <w:pPr>
              <w:pStyle w:val="Compact"/>
            </w:pPr>
          </w:p>
        </w:tc>
        <w:tc>
          <w:tcPr>
            <w:tcW w:w="0" w:type="auto"/>
          </w:tcPr>
          <w:p w:rsidR="006D67BC" w:rsidRDefault="00EB3263">
            <w:pPr>
              <w:pStyle w:val="Compact"/>
            </w:pPr>
            <w:r>
              <w:t>K/Al [atomic]</w:t>
            </w:r>
          </w:p>
        </w:tc>
        <w:tc>
          <w:tcPr>
            <w:tcW w:w="0" w:type="auto"/>
          </w:tcPr>
          <w:p w:rsidR="006D67BC" w:rsidRDefault="00EB3263">
            <w:pPr>
              <w:pStyle w:val="Compact"/>
            </w:pPr>
            <m:oMath>
              <m:r>
                <w:rPr>
                  <w:rFonts w:ascii="Cambria Math" w:hAnsi="Cambria Math"/>
                </w:rPr>
                <m:t>δ</m:t>
              </m:r>
            </m:oMath>
            <w:r>
              <w:rPr>
                <w:vertAlign w:val="superscript"/>
              </w:rPr>
              <w:t>13</w:t>
            </w:r>
            <w:r>
              <w:t>C</w:t>
            </w:r>
            <w:r>
              <w:rPr>
                <w:vertAlign w:val="subscript"/>
              </w:rPr>
              <w:t>TOC</w:t>
            </w:r>
          </w:p>
        </w:tc>
        <w:tc>
          <w:tcPr>
            <w:tcW w:w="0" w:type="auto"/>
          </w:tcPr>
          <w:p w:rsidR="006D67BC" w:rsidRDefault="00EB3263">
            <w:pPr>
              <w:pStyle w:val="Compact"/>
            </w:pPr>
            <w:r>
              <w:t>-21.29</w:t>
            </w:r>
          </w:p>
        </w:tc>
        <w:tc>
          <w:tcPr>
            <w:tcW w:w="0" w:type="auto"/>
          </w:tcPr>
          <w:p w:rsidR="006D67BC" w:rsidRDefault="00EB3263">
            <w:pPr>
              <w:pStyle w:val="Compact"/>
            </w:pPr>
            <w:r>
              <w:t>-19.23</w:t>
            </w:r>
          </w:p>
        </w:tc>
        <w:tc>
          <w:tcPr>
            <w:tcW w:w="0" w:type="auto"/>
          </w:tcPr>
          <w:p w:rsidR="006D67BC" w:rsidRDefault="00EB3263">
            <w:pPr>
              <w:pStyle w:val="Compact"/>
            </w:pPr>
            <w:r>
              <w:t>0.27</w:t>
            </w:r>
          </w:p>
        </w:tc>
        <w:tc>
          <w:tcPr>
            <w:tcW w:w="0" w:type="auto"/>
          </w:tcPr>
          <w:p w:rsidR="006D67BC" w:rsidRDefault="00EB3263">
            <w:pPr>
              <w:pStyle w:val="Compact"/>
            </w:pPr>
            <w:r>
              <w:t>0.10</w:t>
            </w:r>
          </w:p>
        </w:tc>
      </w:tr>
      <w:tr w:rsidR="006D67BC">
        <w:tc>
          <w:tcPr>
            <w:tcW w:w="0" w:type="auto"/>
          </w:tcPr>
          <w:p w:rsidR="006D67BC" w:rsidRDefault="006D67BC">
            <w:pPr>
              <w:pStyle w:val="Compact"/>
            </w:pPr>
          </w:p>
        </w:tc>
        <w:tc>
          <w:tcPr>
            <w:tcW w:w="0" w:type="auto"/>
          </w:tcPr>
          <w:p w:rsidR="006D67BC" w:rsidRDefault="00EB3263">
            <w:pPr>
              <w:pStyle w:val="Compact"/>
            </w:pPr>
            <w:r>
              <w:t>f</w:t>
            </w:r>
            <w:r>
              <w:rPr>
                <w:vertAlign w:val="subscript"/>
              </w:rPr>
              <w:t>marine</w:t>
            </w:r>
          </w:p>
        </w:tc>
        <w:tc>
          <w:tcPr>
            <w:tcW w:w="0" w:type="auto"/>
          </w:tcPr>
          <w:p w:rsidR="006D67BC" w:rsidRDefault="00EB3263">
            <w:pPr>
              <w:pStyle w:val="Compact"/>
            </w:pPr>
            <m:oMath>
              <m:r>
                <w:rPr>
                  <w:rFonts w:ascii="Cambria Math" w:hAnsi="Cambria Math"/>
                </w:rPr>
                <m:t>δ</m:t>
              </m:r>
            </m:oMath>
            <w:r>
              <w:rPr>
                <w:vertAlign w:val="superscript"/>
              </w:rPr>
              <w:t>13</w:t>
            </w:r>
            <w:r>
              <w:t>C</w:t>
            </w:r>
            <w:r>
              <w:rPr>
                <w:vertAlign w:val="subscript"/>
              </w:rPr>
              <w:t>TOC</w:t>
            </w:r>
          </w:p>
        </w:tc>
        <w:tc>
          <w:tcPr>
            <w:tcW w:w="0" w:type="auto"/>
          </w:tcPr>
          <w:p w:rsidR="006D67BC" w:rsidRDefault="00EB3263">
            <w:pPr>
              <w:pStyle w:val="Compact"/>
            </w:pPr>
            <w:r>
              <w:t>-25.33</w:t>
            </w:r>
          </w:p>
        </w:tc>
        <w:tc>
          <w:tcPr>
            <w:tcW w:w="0" w:type="auto"/>
          </w:tcPr>
          <w:p w:rsidR="006D67BC" w:rsidRDefault="00EB3263">
            <w:pPr>
              <w:pStyle w:val="Compact"/>
            </w:pPr>
            <w:r>
              <w:t>-5.39</w:t>
            </w:r>
          </w:p>
        </w:tc>
        <w:tc>
          <w:tcPr>
            <w:tcW w:w="0" w:type="auto"/>
          </w:tcPr>
          <w:p w:rsidR="006D67BC" w:rsidRDefault="00EB3263">
            <w:pPr>
              <w:pStyle w:val="Compact"/>
            </w:pPr>
            <w:r>
              <w:t>0.22</w:t>
            </w:r>
          </w:p>
        </w:tc>
        <w:tc>
          <w:tcPr>
            <w:tcW w:w="0" w:type="auto"/>
          </w:tcPr>
          <w:p w:rsidR="006D67BC" w:rsidRDefault="00EB3263">
            <w:pPr>
              <w:pStyle w:val="Compact"/>
            </w:pPr>
            <w:r>
              <w:t>&lt; 0.05</w:t>
            </w:r>
          </w:p>
        </w:tc>
      </w:tr>
      <w:tr w:rsidR="006D67BC">
        <w:tc>
          <w:tcPr>
            <w:tcW w:w="0" w:type="auto"/>
          </w:tcPr>
          <w:p w:rsidR="006D67BC" w:rsidRDefault="006D67BC">
            <w:pPr>
              <w:pStyle w:val="Compact"/>
            </w:pPr>
          </w:p>
        </w:tc>
        <w:tc>
          <w:tcPr>
            <w:tcW w:w="0" w:type="auto"/>
          </w:tcPr>
          <w:p w:rsidR="006D67BC" w:rsidRDefault="00EB3263">
            <w:pPr>
              <w:pStyle w:val="Compact"/>
            </w:pPr>
            <w:r>
              <w:t>f</w:t>
            </w:r>
            <w:r>
              <w:rPr>
                <w:vertAlign w:val="subscript"/>
              </w:rPr>
              <w:t>marine</w:t>
            </w:r>
          </w:p>
        </w:tc>
        <w:tc>
          <w:tcPr>
            <w:tcW w:w="0" w:type="auto"/>
          </w:tcPr>
          <w:p w:rsidR="006D67BC" w:rsidRDefault="00EB3263">
            <w:pPr>
              <w:pStyle w:val="Compact"/>
            </w:pPr>
            <w:r>
              <w:t>log</w:t>
            </w:r>
            <w:r>
              <w:rPr>
                <w:vertAlign w:val="subscript"/>
              </w:rPr>
              <w:t>10</w:t>
            </w:r>
            <w:r>
              <w:t>(TN</w:t>
            </w:r>
            <w:r>
              <w:rPr>
                <w:vertAlign w:val="subscript"/>
              </w:rPr>
              <w:t>cfb</w:t>
            </w:r>
            <w:r>
              <w:t>[wt. %])</w:t>
            </w:r>
          </w:p>
        </w:tc>
        <w:tc>
          <w:tcPr>
            <w:tcW w:w="0" w:type="auto"/>
          </w:tcPr>
          <w:p w:rsidR="006D67BC" w:rsidRDefault="00EB3263">
            <w:pPr>
              <w:pStyle w:val="Compact"/>
            </w:pPr>
            <w:r>
              <w:t>-0.17</w:t>
            </w:r>
          </w:p>
        </w:tc>
        <w:tc>
          <w:tcPr>
            <w:tcW w:w="0" w:type="auto"/>
          </w:tcPr>
          <w:p w:rsidR="006D67BC" w:rsidRDefault="00EB3263">
            <w:pPr>
              <w:pStyle w:val="Compact"/>
            </w:pPr>
            <w:r>
              <w:t>-2.97</w:t>
            </w:r>
          </w:p>
        </w:tc>
        <w:tc>
          <w:tcPr>
            <w:tcW w:w="0" w:type="auto"/>
          </w:tcPr>
          <w:p w:rsidR="006D67BC" w:rsidRDefault="00EB3263">
            <w:pPr>
              <w:pStyle w:val="Compact"/>
            </w:pPr>
            <w:r>
              <w:t>0.63</w:t>
            </w:r>
          </w:p>
        </w:tc>
        <w:tc>
          <w:tcPr>
            <w:tcW w:w="0" w:type="auto"/>
          </w:tcPr>
          <w:p w:rsidR="006D67BC" w:rsidRDefault="00EB3263">
            <w:pPr>
              <w:pStyle w:val="Compact"/>
            </w:pPr>
            <w:r>
              <w:t>0.06</w:t>
            </w:r>
          </w:p>
        </w:tc>
      </w:tr>
      <w:tr w:rsidR="006D67BC">
        <w:tc>
          <w:tcPr>
            <w:tcW w:w="0" w:type="auto"/>
          </w:tcPr>
          <w:p w:rsidR="006D67BC" w:rsidRDefault="006D67BC">
            <w:pPr>
              <w:pStyle w:val="Compact"/>
            </w:pPr>
          </w:p>
        </w:tc>
        <w:tc>
          <w:tcPr>
            <w:tcW w:w="0" w:type="auto"/>
          </w:tcPr>
          <w:p w:rsidR="006D67BC" w:rsidRDefault="00EB3263">
            <w:pPr>
              <w:pStyle w:val="Compact"/>
            </w:pPr>
            <w:r>
              <w:t>f</w:t>
            </w:r>
            <w:r>
              <w:rPr>
                <w:vertAlign w:val="subscript"/>
              </w:rPr>
              <w:t>marine</w:t>
            </w:r>
          </w:p>
        </w:tc>
        <w:tc>
          <w:tcPr>
            <w:tcW w:w="0" w:type="auto"/>
          </w:tcPr>
          <w:p w:rsidR="006D67BC" w:rsidRDefault="00EB3263">
            <w:pPr>
              <w:pStyle w:val="Compact"/>
            </w:pPr>
            <w:r>
              <w:t>log</w:t>
            </w:r>
            <w:r>
              <w:rPr>
                <w:vertAlign w:val="subscript"/>
              </w:rPr>
              <w:t>10</w:t>
            </w:r>
            <w:r>
              <w:t>(C/N [molar])</w:t>
            </w:r>
          </w:p>
        </w:tc>
        <w:tc>
          <w:tcPr>
            <w:tcW w:w="0" w:type="auto"/>
          </w:tcPr>
          <w:p w:rsidR="006D67BC" w:rsidRDefault="00EB3263">
            <w:pPr>
              <w:pStyle w:val="Compact"/>
            </w:pPr>
            <w:r>
              <w:t>1.66</w:t>
            </w:r>
          </w:p>
        </w:tc>
        <w:tc>
          <w:tcPr>
            <w:tcW w:w="0" w:type="auto"/>
          </w:tcPr>
          <w:p w:rsidR="006D67BC" w:rsidRDefault="00EB3263">
            <w:pPr>
              <w:pStyle w:val="Compact"/>
            </w:pPr>
            <w:r>
              <w:t>0.24</w:t>
            </w:r>
          </w:p>
        </w:tc>
        <w:tc>
          <w:tcPr>
            <w:tcW w:w="0" w:type="auto"/>
          </w:tcPr>
          <w:p w:rsidR="006D67BC" w:rsidRDefault="00EB3263">
            <w:pPr>
              <w:pStyle w:val="Compact"/>
            </w:pPr>
            <w:r>
              <w:t>0.05</w:t>
            </w:r>
          </w:p>
        </w:tc>
        <w:tc>
          <w:tcPr>
            <w:tcW w:w="0" w:type="auto"/>
          </w:tcPr>
          <w:p w:rsidR="006D67BC" w:rsidRDefault="00EB3263">
            <w:pPr>
              <w:pStyle w:val="Compact"/>
            </w:pPr>
            <w:r>
              <w:t>0.67</w:t>
            </w:r>
          </w:p>
        </w:tc>
      </w:tr>
    </w:tbl>
    <w:p w:rsidR="006D67BC" w:rsidRDefault="00EB3263">
      <w:pPr>
        <w:pStyle w:val="Textkrper"/>
      </w:pPr>
      <w:r>
        <w:t xml:space="preserve">The strong correlation of </w:t>
      </w:r>
      <m:oMath>
        <m:r>
          <w:rPr>
            <w:rFonts w:ascii="Cambria Math" w:hAnsi="Cambria Math"/>
          </w:rPr>
          <m:t>δ</m:t>
        </m:r>
      </m:oMath>
      <w:r>
        <w:rPr>
          <w:vertAlign w:val="superscript"/>
        </w:rPr>
        <w:t>13</w:t>
      </w:r>
      <w:r>
        <w:t>C</w:t>
      </w:r>
      <w:r>
        <w:rPr>
          <w:vertAlign w:val="subscript"/>
        </w:rPr>
        <w:t>TOC</w:t>
      </w:r>
      <w:r>
        <w:t xml:space="preserve"> and the fraction of wood fragments (Fig 6 and Table 1, Table 2), the abundance and relatively large range of fwood (0.58</w:t>
      </w:r>
      <w:r>
        <w:t xml:space="preserve">±0.23 [mean and SD]), support a terrestrial-dominated OC pool for the Bonenburg section, or, at least, that a change in the composition of land-derived organic matter forced the stratigraphic variations in </w:t>
      </w:r>
      <m:oMath>
        <m:r>
          <w:rPr>
            <w:rFonts w:ascii="Cambria Math" w:hAnsi="Cambria Math"/>
          </w:rPr>
          <m:t>δ</m:t>
        </m:r>
      </m:oMath>
      <w:r>
        <w:rPr>
          <w:vertAlign w:val="superscript"/>
        </w:rPr>
        <w:t>13</w:t>
      </w:r>
      <w:r>
        <w:t>C</w:t>
      </w:r>
      <w:r>
        <w:rPr>
          <w:vertAlign w:val="subscript"/>
        </w:rPr>
        <w:t>TOC</w:t>
      </w:r>
      <w:r>
        <w:t>. Furthermore, a common pattern in the cro</w:t>
      </w:r>
      <w:r>
        <w:t xml:space="preserve">ssplots of </w:t>
      </w:r>
      <m:oMath>
        <m:r>
          <w:rPr>
            <w:rFonts w:ascii="Cambria Math" w:hAnsi="Cambria Math"/>
          </w:rPr>
          <m:t>δ</m:t>
        </m:r>
      </m:oMath>
      <w:r>
        <w:rPr>
          <w:vertAlign w:val="superscript"/>
        </w:rPr>
        <w:t>13</w:t>
      </w:r>
      <w:r>
        <w:t>C</w:t>
      </w:r>
      <w:r>
        <w:rPr>
          <w:vertAlign w:val="subscript"/>
        </w:rPr>
        <w:t>TOC</w:t>
      </w:r>
      <w:r>
        <w:t xml:space="preserve"> with K/Al is that the values of the Schattwald and the Triletes beds cluster in a distinct domain of the plot with relatively little scatter. This pattern suggests uniformity in the source of organic matter and clay minerals. By contras</w:t>
      </w:r>
      <w:r>
        <w:t>t the younger and older parts of the succession show more overlap and contain a more variable signal. This uniformity extends beyond Kuhjoch and Bonenburg to sections , where similar trends in the clay mineral assemblages with an increase or predominance o</w:t>
      </w:r>
      <w:r>
        <w:t>f kaolinite in the topmost Rhaetian beds occur in the NCA (Pálfy &amp; Zajzon 2012, Zajzon et al. 2012) and in several other regions in Europe (</w:t>
      </w:r>
      <w:r>
        <w:rPr>
          <w:b/>
        </w:rPr>
        <w:t>???</w:t>
      </w:r>
      <w:r>
        <w:t>, Simms &amp; Ruffell 1989, Ahlberg et al. 2003, {van de Schootbrugge} et al. 2009, Michalik et al. 2010, Bránski 201</w:t>
      </w:r>
      <w:r>
        <w:t xml:space="preserve">4)., These similarities in first-order trends hint at a common temporal evolution of clay mineral formation and/or similar climate-driven weathering regime shift for these geographically distinct sites. and cIn addition, compilations of </w:t>
      </w:r>
      <m:oMath>
        <m:r>
          <w:rPr>
            <w:rFonts w:ascii="Cambria Math" w:hAnsi="Cambria Math"/>
          </w:rPr>
          <m:t>δ</m:t>
        </m:r>
      </m:oMath>
      <w:r>
        <w:rPr>
          <w:vertAlign w:val="superscript"/>
        </w:rPr>
        <w:t>13</w:t>
      </w:r>
      <w:r>
        <w:t>C</w:t>
      </w:r>
      <w:r>
        <w:rPr>
          <w:vertAlign w:val="subscript"/>
        </w:rPr>
        <w:t>TOC</w:t>
      </w:r>
      <w:r>
        <w:t xml:space="preserve"> for the CE</w:t>
      </w:r>
      <w:r>
        <w:t xml:space="preserve">B (the Mingolsheim, Stenlille, Mariental and Schandelah cores; Fig 7) and western Tethys shelf seas (the Restentalgraben, Tiefengraben, Kendlbachgraben and Hochalplgraben sections; Fig 8) suggest that </w:t>
      </w:r>
      <w:r>
        <w:rPr>
          <w:vertAlign w:val="superscript"/>
        </w:rPr>
        <w:t>13</w:t>
      </w:r>
      <w:r>
        <w:t>C-enriched TOC with low variability is a shared chara</w:t>
      </w:r>
      <w:r>
        <w:t xml:space="preserve">cteristic for the Events Beds (Triletes and Schattwald Beds). This is further corroborated by Kruskal-Wallis rank sum tests and Pairwise Wilcoxon rank sum tests, which show that the median </w:t>
      </w:r>
      <m:oMath>
        <m:r>
          <w:rPr>
            <w:rFonts w:ascii="Cambria Math" w:hAnsi="Cambria Math"/>
          </w:rPr>
          <m:t>δ</m:t>
        </m:r>
      </m:oMath>
      <w:r>
        <w:rPr>
          <w:vertAlign w:val="superscript"/>
        </w:rPr>
        <w:t>13</w:t>
      </w:r>
      <w:r>
        <w:t>C</w:t>
      </w:r>
      <w:r>
        <w:rPr>
          <w:vertAlign w:val="subscript"/>
        </w:rPr>
        <w:t>TOC</w:t>
      </w:r>
      <w:r>
        <w:t xml:space="preserve"> of the stratigraphic units are significantly different, ex</w:t>
      </w:r>
      <w:r>
        <w:t>cept for the Contorta and Psilonotenton Formation of Stenlille and Bonenburg which cannot be distinguished (Fig 7). This observation fits within the chemostratigraphic correlation scheme of the Tr–J boundary interval which was recently reviewed by Korte el</w:t>
      </w:r>
      <w:r>
        <w:t xml:space="preserve"> al (2019).</w:t>
      </w:r>
    </w:p>
    <w:p w:rsidR="006D67BC" w:rsidRDefault="00EB3263">
      <w:pPr>
        <w:pStyle w:val="Compact"/>
      </w:pPr>
      <w:r>
        <w:rPr>
          <w:noProof/>
        </w:rPr>
        <w:drawing>
          <wp:inline distT="0" distB="0" distL="0" distR="0">
            <wp:extent cx="4587290" cy="3669832"/>
            <wp:effectExtent l="0" t="0" r="0" b="0"/>
            <wp:docPr id="6" name="Picture" descr="Boxplots of \delta13CTOC of the combined sites in the CEB binned for three stratigraphically distinct units (Section 5.1), compiling data from the Mingolsheim core (Quan et al. 2008), the Stenlille core (Lindström et al. 2012), the Mariental core ({van de Schootbrugge} et al. 2013), the Schandelah core ({ van de Schootbrugge} et al.) and the Bonenburg section (this study). Age of the lower boundary of the Triletes Beds is after Lindström et al. (2017b) and (???); the Tr–J is comprised by a hiatus in the CEB."/>
            <wp:cNvGraphicFramePr/>
            <a:graphic xmlns:a="http://schemas.openxmlformats.org/drawingml/2006/main">
              <a:graphicData uri="http://schemas.openxmlformats.org/drawingml/2006/picture">
                <pic:pic xmlns:pic="http://schemas.openxmlformats.org/drawingml/2006/picture">
                  <pic:nvPicPr>
                    <pic:cNvPr id="0" name="Picture" descr="Bonenburg_rev_files/figure-docx/FigCEB-1.png"/>
                    <pic:cNvPicPr>
                      <a:picLocks noChangeAspect="1" noChangeArrowheads="1"/>
                    </pic:cNvPicPr>
                  </pic:nvPicPr>
                  <pic:blipFill>
                    <a:blip r:embed="rId13"/>
                    <a:stretch>
                      <a:fillRect/>
                    </a:stretch>
                  </pic:blipFill>
                  <pic:spPr bwMode="auto">
                    <a:xfrm>
                      <a:off x="0" y="0"/>
                      <a:ext cx="4587290" cy="3669832"/>
                    </a:xfrm>
                    <a:prstGeom prst="rect">
                      <a:avLst/>
                    </a:prstGeom>
                    <a:noFill/>
                    <a:ln w="9525">
                      <a:noFill/>
                      <a:headEnd/>
                      <a:tailEnd/>
                    </a:ln>
                  </pic:spPr>
                </pic:pic>
              </a:graphicData>
            </a:graphic>
          </wp:inline>
        </w:drawing>
      </w:r>
    </w:p>
    <w:p w:rsidR="006D67BC" w:rsidRDefault="00EB3263">
      <w:pPr>
        <w:pStyle w:val="Compact"/>
      </w:pPr>
      <w:r>
        <w:t xml:space="preserve">Fig. 7. Boxplots of </w:t>
      </w:r>
      <m:oMath>
        <m:r>
          <w:rPr>
            <w:rFonts w:ascii="Cambria Math" w:hAnsi="Cambria Math"/>
          </w:rPr>
          <m:t>δ</m:t>
        </m:r>
      </m:oMath>
      <w:r>
        <w:rPr>
          <w:vertAlign w:val="superscript"/>
        </w:rPr>
        <w:t>13</w:t>
      </w:r>
      <w:r>
        <w:t>C</w:t>
      </w:r>
      <w:r>
        <w:rPr>
          <w:vertAlign w:val="subscript"/>
        </w:rPr>
        <w:t>TOC</w:t>
      </w:r>
      <w:r>
        <w:t xml:space="preserve"> of the combined sites in the CEB binned for three stratigraphically distinct units (Section 5.1), compiling data from the Mingolsheim core (Quan et al. 2008), the Stenlille core (Lindström et al. 2012)</w:t>
      </w:r>
      <w:r>
        <w:t>, the Mariental core ({van de Schootbrugge} et al. 2013), the Schandelah core ({ van de Schootbrugge} et al.) and the Bonenburg section (this study). Age of the lower boundary of the Triletes Beds is after Lindström et al. (2017b) and (</w:t>
      </w:r>
      <w:r>
        <w:rPr>
          <w:b/>
        </w:rPr>
        <w:t>???</w:t>
      </w:r>
      <w:r>
        <w:t>); the Tr–J is co</w:t>
      </w:r>
      <w:r>
        <w:t>mprised by a hiatus in the CEB.</w:t>
      </w:r>
    </w:p>
    <w:p w:rsidR="006D67BC" w:rsidRDefault="00EB3263">
      <w:pPr>
        <w:pStyle w:val="Compact"/>
      </w:pPr>
      <w:r>
        <w:rPr>
          <w:noProof/>
        </w:rPr>
        <w:drawing>
          <wp:inline distT="0" distB="0" distL="0" distR="0">
            <wp:extent cx="4587290" cy="3669832"/>
            <wp:effectExtent l="0" t="0" r="0" b="0"/>
            <wp:docPr id="7" name="Picture" descr="Boxplots of \delta13CTOC of the combined sites in the CEB binned for three stratigraphically distinct units (Section 5.2), compiling data from the Restentalgraben, Tiefengraben, Kendlbachgraben, Kuhjoch and Hochalplgraben sections (Kuerschner et al. 2007, Ruhl et al. 2009). The Kendlbachgraben and Tiefengraben lithological subdivision is based on clay mineralogy analysis by Zajzon et al. (2012) and a change to a more silty lithology (Kuerschner et al. 2007), respectively. Ages of the lower Schattwald Beds is after Lindström et al. (2017b) and (???); the age of the Tr–J boundary is after Wotzlaw et al. (2014)."/>
            <wp:cNvGraphicFramePr/>
            <a:graphic xmlns:a="http://schemas.openxmlformats.org/drawingml/2006/main">
              <a:graphicData uri="http://schemas.openxmlformats.org/drawingml/2006/picture">
                <pic:pic xmlns:pic="http://schemas.openxmlformats.org/drawingml/2006/picture">
                  <pic:nvPicPr>
                    <pic:cNvPr id="0" name="Picture" descr="Bonenburg_rev_files/figure-docx/FigEBerg-1.png"/>
                    <pic:cNvPicPr>
                      <a:picLocks noChangeAspect="1" noChangeArrowheads="1"/>
                    </pic:cNvPicPr>
                  </pic:nvPicPr>
                  <pic:blipFill>
                    <a:blip r:embed="rId14"/>
                    <a:stretch>
                      <a:fillRect/>
                    </a:stretch>
                  </pic:blipFill>
                  <pic:spPr bwMode="auto">
                    <a:xfrm>
                      <a:off x="0" y="0"/>
                      <a:ext cx="4587290" cy="3669832"/>
                    </a:xfrm>
                    <a:prstGeom prst="rect">
                      <a:avLst/>
                    </a:prstGeom>
                    <a:noFill/>
                    <a:ln w="9525">
                      <a:noFill/>
                      <a:headEnd/>
                      <a:tailEnd/>
                    </a:ln>
                  </pic:spPr>
                </pic:pic>
              </a:graphicData>
            </a:graphic>
          </wp:inline>
        </w:drawing>
      </w:r>
    </w:p>
    <w:p w:rsidR="006D67BC" w:rsidRDefault="00EB3263">
      <w:pPr>
        <w:pStyle w:val="Compact"/>
      </w:pPr>
      <w:r>
        <w:t xml:space="preserve">Fig. 8. Boxplots of </w:t>
      </w:r>
      <m:oMath>
        <m:r>
          <w:rPr>
            <w:rFonts w:ascii="Cambria Math" w:hAnsi="Cambria Math"/>
          </w:rPr>
          <m:t>δ</m:t>
        </m:r>
      </m:oMath>
      <w:r>
        <w:rPr>
          <w:vertAlign w:val="superscript"/>
        </w:rPr>
        <w:t>13</w:t>
      </w:r>
      <w:r>
        <w:t>C</w:t>
      </w:r>
      <w:r>
        <w:rPr>
          <w:vertAlign w:val="subscript"/>
        </w:rPr>
        <w:t>TOC</w:t>
      </w:r>
      <w:r>
        <w:t xml:space="preserve"> of the combined sites in the CEB binned for three stratigraphically distinct units (Section 5.2), compiling data from the Restentalgraben, Tiefengraben, Kendlbachgraben, Kuhjoch and Hochalplgra</w:t>
      </w:r>
      <w:r>
        <w:t>ben sections (Kuerschner et al. 2007, Ruhl et al. 2009). The Kendlbachgraben and Tiefengraben lithological subdivision is based on clay mineralogy analysis by Zajzon et al. (2012) and a change to a more silty lithology (Kuerschner et al. 2007), respectivel</w:t>
      </w:r>
      <w:r>
        <w:t>y. Ages of the lower Schattwald Beds is after Lindström et al. (2017b) and (</w:t>
      </w:r>
      <w:r>
        <w:rPr>
          <w:b/>
        </w:rPr>
        <w:t>???</w:t>
      </w:r>
      <w:r>
        <w:t>); the age of the Tr–J boundary is after Wotzlaw et al. (2014).</w:t>
      </w:r>
    </w:p>
    <w:p w:rsidR="006D67BC" w:rsidRDefault="00EB3263">
      <w:pPr>
        <w:pStyle w:val="berschrift2"/>
      </w:pPr>
      <w:bookmarkStart w:id="20" w:name="perspectives-on-toc-carbon-isotope-based"/>
      <w:bookmarkEnd w:id="20"/>
      <w:r>
        <w:t>Perspectives on TOC-carbon isotope based stratigraphic schemes</w:t>
      </w:r>
    </w:p>
    <w:p w:rsidR="006D67BC" w:rsidRDefault="00EB3263">
      <w:pPr>
        <w:pStyle w:val="FirstParagraph"/>
      </w:pPr>
      <w:r>
        <w:t xml:space="preserve">Transient negative excursions in </w:t>
      </w:r>
      <m:oMath>
        <m:r>
          <w:rPr>
            <w:rFonts w:ascii="Cambria Math" w:hAnsi="Cambria Math"/>
          </w:rPr>
          <m:t>δ</m:t>
        </m:r>
      </m:oMath>
      <w:r>
        <w:rPr>
          <w:vertAlign w:val="superscript"/>
        </w:rPr>
        <w:t>13</w:t>
      </w:r>
      <w:r>
        <w:t>C</w:t>
      </w:r>
      <w:r>
        <w:rPr>
          <w:vertAlign w:val="subscript"/>
        </w:rPr>
        <w:t>TOC</w:t>
      </w:r>
      <w:r>
        <w:t xml:space="preserve"> of the T</w:t>
      </w:r>
      <w:r>
        <w:t xml:space="preserve">r–J boundary intervals have been linked to pronounced perturbations of the global carbon cycle, based on compound-specific C isotope analysis (Ruhl et al. 2009). By contrast, long-term </w:t>
      </w:r>
      <m:oMath>
        <m:r>
          <w:rPr>
            <w:rFonts w:ascii="Cambria Math" w:hAnsi="Cambria Math"/>
          </w:rPr>
          <m:t>δ</m:t>
        </m:r>
      </m:oMath>
      <w:r>
        <w:rPr>
          <w:vertAlign w:val="superscript"/>
        </w:rPr>
        <w:t>13</w:t>
      </w:r>
      <w:r>
        <w:t>C</w:t>
      </w:r>
      <w:r>
        <w:rPr>
          <w:vertAlign w:val="subscript"/>
        </w:rPr>
        <w:t>TOC</w:t>
      </w:r>
      <w:r>
        <w:t xml:space="preserve"> trends over the Tr–J transitional beds, and, in particular, th</w:t>
      </w:r>
      <w:r>
        <w:t xml:space="preserve">e positive </w:t>
      </w:r>
      <m:oMath>
        <m:r>
          <w:rPr>
            <w:rFonts w:ascii="Cambria Math" w:hAnsi="Cambria Math"/>
          </w:rPr>
          <m:t>δ</m:t>
        </m:r>
      </m:oMath>
      <w:r>
        <w:rPr>
          <w:vertAlign w:val="superscript"/>
        </w:rPr>
        <w:t>13</w:t>
      </w:r>
      <w:r>
        <w:t>C</w:t>
      </w:r>
      <w:r>
        <w:rPr>
          <w:vertAlign w:val="subscript"/>
        </w:rPr>
        <w:t>TOC</w:t>
      </w:r>
      <w:r>
        <w:t xml:space="preserve"> signature of the Event Beds, have not undergone equivalent rigorous testing (see discussion in Bachan et al. 2012, Yager et al. 2017 for potential explanations for TOC </w:t>
      </w:r>
      <w:r>
        <w:rPr>
          <w:vertAlign w:val="superscript"/>
        </w:rPr>
        <w:t>13</w:t>
      </w:r>
      <w:r>
        <w:t>C-enrichment in the Event Beds).</w:t>
      </w:r>
    </w:p>
    <w:p w:rsidR="006D67BC" w:rsidRDefault="00EB3263">
      <w:pPr>
        <w:pStyle w:val="Textkrper"/>
      </w:pPr>
      <w:r>
        <w:t xml:space="preserve">The supra-regional TOC </w:t>
      </w:r>
      <w:r>
        <w:rPr>
          <w:vertAlign w:val="superscript"/>
        </w:rPr>
        <w:t>13</w:t>
      </w:r>
      <w:r>
        <w:t>C-enrich</w:t>
      </w:r>
      <w:r>
        <w:t>ment in the Event Beds (Fig 7 and Fig 9) suggests a primary isotope signature, which traces the isotope composition of the exogenic carbon reservoir, which in turn is dictated by the fluxes in- (volcanism and metamorphism-derived C) and out (burial of C) o</w:t>
      </w:r>
      <w:r>
        <w:t>f the system. Furthermore, considering a 10</w:t>
      </w:r>
      <w:r>
        <w:rPr>
          <w:vertAlign w:val="superscript"/>
        </w:rPr>
        <w:t>5</w:t>
      </w:r>
      <m:oMath>
        <m:r>
          <w:rPr>
            <w:rFonts w:ascii="Cambria Math" w:hAnsi="Cambria Math"/>
          </w:rPr>
          <m:t> </m:t>
        </m:r>
      </m:oMath>
      <w:r>
        <w:t xml:space="preserve">y duration of the Event Beds (Fig 9 and Lindström et al. 2017b), the </w:t>
      </w:r>
      <m:oMath>
        <m:r>
          <w:rPr>
            <w:rFonts w:ascii="Cambria Math" w:hAnsi="Cambria Math"/>
          </w:rPr>
          <m:t>δ</m:t>
        </m:r>
      </m:oMath>
      <w:r>
        <w:rPr>
          <w:vertAlign w:val="superscript"/>
        </w:rPr>
        <w:t>13</w:t>
      </w:r>
      <w:r>
        <w:t>C</w:t>
      </w:r>
      <w:r>
        <w:rPr>
          <w:vertAlign w:val="subscript"/>
        </w:rPr>
        <w:t>TOC</w:t>
      </w:r>
      <w:r>
        <w:t xml:space="preserve"> should have originated from a well-mixed reservoir, as the residence time of carbon in the ocean-atmosphere system (10</w:t>
      </w:r>
      <w:r>
        <w:rPr>
          <w:vertAlign w:val="superscript"/>
        </w:rPr>
        <w:t>5</w:t>
      </w:r>
      <m:oMath>
        <m:r>
          <w:rPr>
            <w:rFonts w:ascii="Cambria Math" w:hAnsi="Cambria Math"/>
          </w:rPr>
          <m:t> </m:t>
        </m:r>
      </m:oMath>
      <w:r>
        <w:t xml:space="preserve">y) is larger </w:t>
      </w:r>
      <w:r>
        <w:t>than the ocean mixing time (10</w:t>
      </w:r>
      <w:r>
        <w:rPr>
          <w:vertAlign w:val="superscript"/>
        </w:rPr>
        <w:t>3</w:t>
      </w:r>
      <m:oMath>
        <m:r>
          <w:rPr>
            <w:rFonts w:ascii="Cambria Math" w:hAnsi="Cambria Math"/>
          </w:rPr>
          <m:t> </m:t>
        </m:r>
      </m:oMath>
      <w:r>
        <w:t>y) (Kump 1989, Dickens et al. 1995). It thus follows that the magnitude of the inflection to positive values should have been uniform across the whole ocean. However, this observation seems to be at odds with the variable ma</w:t>
      </w:r>
      <w:r>
        <w:t>gnitude of the observed C isotope shift (Fig 7 and Fig 9), and alternative explanations need to be explored.</w:t>
      </w:r>
    </w:p>
    <w:p w:rsidR="006D67BC" w:rsidRDefault="00EB3263">
      <w:pPr>
        <w:pStyle w:val="Textkrper"/>
      </w:pPr>
      <w:r>
        <w:t xml:space="preserve">Local </w:t>
      </w:r>
      <m:oMath>
        <m:r>
          <w:rPr>
            <w:rFonts w:ascii="Cambria Math" w:hAnsi="Cambria Math"/>
          </w:rPr>
          <m:t>δ</m:t>
        </m:r>
      </m:oMath>
      <w:r>
        <w:rPr>
          <w:vertAlign w:val="superscript"/>
        </w:rPr>
        <w:t>13</w:t>
      </w:r>
      <w:r>
        <w:t>C departures from the global C isotope signal could result from restricted seawater exchange of the basin with the open ocean (Holmden et</w:t>
      </w:r>
      <w:r>
        <w:t xml:space="preserve"> al. 1998, Saltzman 2001, Bachan et al. 2012). Alternatively, spatial variations in the plankton community composition, and changes in the contributions of marine versus terrestrial components,can drive locally distinct sedimentary organic matter </w:t>
      </w:r>
      <m:oMath>
        <m:r>
          <w:rPr>
            <w:rFonts w:ascii="Cambria Math" w:hAnsi="Cambria Math"/>
          </w:rPr>
          <m:t>δ</m:t>
        </m:r>
      </m:oMath>
      <w:r>
        <w:rPr>
          <w:vertAlign w:val="superscript"/>
        </w:rPr>
        <w:t>13</w:t>
      </w:r>
      <w:r>
        <w:t>C sig</w:t>
      </w:r>
      <w:r>
        <w:t>natures, which are produced by differences in C isotope fractionation associated with photosynthate production (Arthur et al. 1985, Farquhar et al. 1989, Meyers 1994, Kump &amp; Arthur 1999). As marine palynomorph counts are potentially a poor reflection of th</w:t>
      </w:r>
      <w:r>
        <w:t>e total sedimentary organic matter (where they represent only a small fraction of the organic particle pool, based on palynofacies analysis), a change in predominantly marine to terrestrial organic components can not entirely be discounted as the underlyin</w:t>
      </w:r>
      <w:r>
        <w:t xml:space="preserve">g cause for the </w:t>
      </w:r>
      <w:r>
        <w:rPr>
          <w:vertAlign w:val="superscript"/>
        </w:rPr>
        <w:t>13</w:t>
      </w:r>
      <w:r>
        <w:t>C-enriched values of the Event Beds. Nevertheless, a most parsimonious scenario should also consider evidence of redox changes, and connected elevated levels of marine primary productivity, during the latest Rhaetian (Kasprak et al. 2015)</w:t>
      </w:r>
      <w:r>
        <w:t>. These oceanic changes might relate to the collapse of terrestrial vegetation and elevated nutrient fluxes from the continents (Meyer et al. 2008, {van de Schootbrugge} et al. 2009, Algeo et al. 2011, Kasprak et al. 2015). The synergistic effect of enhanc</w:t>
      </w:r>
      <w:r>
        <w:t>ed continental weathering and nutrient flux to the shelf environment favors a scenario of a change in the terrigenous OC flux over changes in the marine versus terrestrial end-member contribution. Combined with the ubiquity and highly variable occurrence o</w:t>
      </w:r>
      <w:r>
        <w:t xml:space="preserve">f wood fragments in the Bonenburg section, these indices point towards a significant control of terrestrial-derived organic material on the </w:t>
      </w:r>
      <m:oMath>
        <m:r>
          <w:rPr>
            <w:rFonts w:ascii="Cambria Math" w:hAnsi="Cambria Math"/>
          </w:rPr>
          <m:t>δ</m:t>
        </m:r>
      </m:oMath>
      <w:r>
        <w:rPr>
          <w:vertAlign w:val="superscript"/>
        </w:rPr>
        <w:t>13</w:t>
      </w:r>
      <w:r>
        <w:t>C</w:t>
      </w:r>
      <w:r>
        <w:rPr>
          <w:vertAlign w:val="subscript"/>
        </w:rPr>
        <w:t>TOC</w:t>
      </w:r>
      <w:r>
        <w:t xml:space="preserve"> of the Tr–J transition beds. This interpretation is in accordance with previous studies of sections in the </w:t>
      </w:r>
      <w:r>
        <w:t xml:space="preserve">CEB and western Tethys shelf seas that employed kerogen characterization and compound specific C isotope analysis ({van de Schootbrugge} et al. 2009, Ruhl et al. 2010, 2011). In this case, </w:t>
      </w:r>
      <m:oMath>
        <m:r>
          <w:rPr>
            <w:rFonts w:ascii="Cambria Math" w:hAnsi="Cambria Math"/>
          </w:rPr>
          <m:t>δ</m:t>
        </m:r>
      </m:oMath>
      <w:r>
        <w:rPr>
          <w:vertAlign w:val="superscript"/>
        </w:rPr>
        <w:t>13</w:t>
      </w:r>
      <w:r>
        <w:t>C</w:t>
      </w:r>
      <w:r>
        <w:rPr>
          <w:vertAlign w:val="subscript"/>
        </w:rPr>
        <w:t>TOC</w:t>
      </w:r>
      <w:r>
        <w:t xml:space="preserve"> might reflect the isotope composition of atmospheric </w:t>
      </w:r>
      <m:oMath>
        <m:r>
          <w:rPr>
            <w:rFonts w:ascii="Cambria Math" w:hAnsi="Cambria Math"/>
          </w:rPr>
          <m:t>p</m:t>
        </m:r>
      </m:oMath>
      <w:r>
        <w:t>CO</w:t>
      </w:r>
      <w:r>
        <w:rPr>
          <w:vertAlign w:val="subscript"/>
        </w:rPr>
        <w:t>2</w:t>
      </w:r>
      <w:r>
        <w:t xml:space="preserve"> (</w:t>
      </w:r>
      <w:r>
        <w:rPr>
          <w:b/>
        </w:rPr>
        <w:t>???</w:t>
      </w:r>
      <w:r>
        <w:t>). However, small local deviations could arise from differences in the original organic matter transported from the continent to the seafloor (the organic debris of C</w:t>
      </w:r>
      <w:r>
        <w:rPr>
          <w:vertAlign w:val="subscript"/>
        </w:rPr>
        <w:t>3</w:t>
      </w:r>
      <w:r>
        <w:t xml:space="preserve"> plants can range over several per mill in </w:t>
      </w:r>
      <m:oMath>
        <m:r>
          <w:rPr>
            <w:rFonts w:ascii="Cambria Math" w:hAnsi="Cambria Math"/>
          </w:rPr>
          <m:t>δ</m:t>
        </m:r>
      </m:oMath>
      <w:r>
        <w:rPr>
          <w:vertAlign w:val="superscript"/>
        </w:rPr>
        <w:t>13</w:t>
      </w:r>
      <w:r>
        <w:t xml:space="preserve">C; </w:t>
      </w:r>
      <w:r>
        <w:rPr>
          <w:b/>
        </w:rPr>
        <w:t>???</w:t>
      </w:r>
      <w:r>
        <w:t xml:space="preserve">, </w:t>
      </w:r>
      <w:r>
        <w:rPr>
          <w:b/>
        </w:rPr>
        <w:t>???</w:t>
      </w:r>
      <w:r>
        <w:t xml:space="preserve">, Cloern et al. 2002) </w:t>
      </w:r>
      <w:r>
        <w:t xml:space="preserve">and from differential trajectories of early diagenetic stabilization (Benner et al. 1987, Lehmann et al. 2002). Consistent with this reasoning, the co-variance of K/Al, and in particular the fraction wood fragments percent wood fragments with </w:t>
      </w:r>
      <m:oMath>
        <m:r>
          <w:rPr>
            <w:rFonts w:ascii="Cambria Math" w:hAnsi="Cambria Math"/>
          </w:rPr>
          <m:t>δ</m:t>
        </m:r>
      </m:oMath>
      <w:r>
        <w:rPr>
          <w:vertAlign w:val="superscript"/>
        </w:rPr>
        <w:t>13</w:t>
      </w:r>
      <w:r>
        <w:t>C</w:t>
      </w:r>
      <w:r>
        <w:rPr>
          <w:vertAlign w:val="subscript"/>
        </w:rPr>
        <w:t>TOC</w:t>
      </w:r>
      <w:r>
        <w:t>, sug</w:t>
      </w:r>
      <w:r>
        <w:t xml:space="preserve">gests that temporal </w:t>
      </w:r>
      <m:oMath>
        <m:r>
          <w:rPr>
            <w:rFonts w:ascii="Cambria Math" w:hAnsi="Cambria Math"/>
          </w:rPr>
          <m:t>δ</m:t>
        </m:r>
      </m:oMath>
      <w:r>
        <w:rPr>
          <w:vertAlign w:val="superscript"/>
        </w:rPr>
        <w:t>13</w:t>
      </w:r>
      <w:r>
        <w:t>C</w:t>
      </w:r>
      <w:r>
        <w:rPr>
          <w:vertAlign w:val="subscript"/>
        </w:rPr>
        <w:t>TOC</w:t>
      </w:r>
      <w:r>
        <w:t xml:space="preserve"> variations could equally be forced by source changes within the terrestrial OC flux.</w:t>
      </w:r>
    </w:p>
    <w:p w:rsidR="006D67BC" w:rsidRDefault="00EB3263">
      <w:pPr>
        <w:pStyle w:val="Textkrper"/>
      </w:pPr>
      <w:r>
        <w:t xml:space="preserve">The close correspondence of a clay mineralogy change, wood fragment abundance, and a shift to more </w:t>
      </w:r>
      <w:r>
        <w:rPr>
          <w:vertAlign w:val="superscript"/>
        </w:rPr>
        <w:t>13</w:t>
      </w:r>
      <w:r>
        <w:t>C-enriched TOC in the Event Beds therefor</w:t>
      </w:r>
      <w:r>
        <w:t>e invokes a causal relationship. A change in the weathering regime might introduce more refractory terrestrial organic material (“pre-aged” or “fossil organic material” Meyers 1994) through increased physical erosion on land and an elevated riverine influx</w:t>
      </w:r>
      <w:r>
        <w:t>. A vegetation die-back and an enhanced hydrological cycle would be potential consequences of large-scale ecosystem destruction and greenhouse warming ({van de Schootbrugge} et al. 2009, Bonis et al. 2010, Ruhl et al. 2011), exposing and mobilizing previou</w:t>
      </w:r>
      <w:r>
        <w:t>sly untouched and mature organic matter sources. Additionally, a climatic shift to warmer and more humid conditions would have elevated chemical weathering rates, where episodic inundation could have catalyzed oxidative degradation of organic substrates (H</w:t>
      </w:r>
      <w:r>
        <w:t>edges et al. 1999), leading to proportionally more refractory organic material transport to the depocenters. Such recalcitrant tissues (e.g. woody components) are known to harbor more positive C isotope signatures (</w:t>
      </w:r>
      <w:r>
        <w:rPr>
          <w:b/>
        </w:rPr>
        <w:t>???</w:t>
      </w:r>
      <w:r>
        <w:t>, Jahren 2004, Cernusak et al. 2009, S</w:t>
      </w:r>
      <w:r>
        <w:t xml:space="preserve">chneebeli-Hermann et al. 2013). Hence, elevated contributions of recalcitrant organic material would be a viable pathway to drive </w:t>
      </w:r>
      <m:oMath>
        <m:r>
          <w:rPr>
            <w:rFonts w:ascii="Cambria Math" w:hAnsi="Cambria Math"/>
          </w:rPr>
          <m:t>δ</m:t>
        </m:r>
      </m:oMath>
      <w:r>
        <w:rPr>
          <w:vertAlign w:val="superscript"/>
        </w:rPr>
        <w:t>13</w:t>
      </w:r>
      <w:r>
        <w:t>C</w:t>
      </w:r>
      <w:r>
        <w:rPr>
          <w:vertAlign w:val="subscript"/>
        </w:rPr>
        <w:t>TOC</w:t>
      </w:r>
      <w:r>
        <w:t xml:space="preserve"> to higher values, a mechanism which should be explored in future studies on the Tr–J transitional beds. Factors such </w:t>
      </w:r>
      <w:r>
        <w:t xml:space="preserve">as the amount, source, and degradability of the original terrestrial organic compounds could be additional factors, which determine the ultimate TOC composition and could account for variations in the magnitude of the observed positive </w:t>
      </w:r>
      <m:oMath>
        <m:r>
          <w:rPr>
            <w:rFonts w:ascii="Cambria Math" w:hAnsi="Cambria Math"/>
          </w:rPr>
          <m:t>δ</m:t>
        </m:r>
      </m:oMath>
      <w:r>
        <w:rPr>
          <w:vertAlign w:val="superscript"/>
        </w:rPr>
        <w:t>13</w:t>
      </w:r>
      <w:r>
        <w:t>C</w:t>
      </w:r>
      <w:r>
        <w:rPr>
          <w:vertAlign w:val="subscript"/>
        </w:rPr>
        <w:t>TOC</w:t>
      </w:r>
      <w:r>
        <w:t xml:space="preserve"> shift. Intr</w:t>
      </w:r>
      <w:r>
        <w:t xml:space="preserve">iguingly, the signal to more positive </w:t>
      </w:r>
      <m:oMath>
        <m:r>
          <w:rPr>
            <w:rFonts w:ascii="Cambria Math" w:hAnsi="Cambria Math"/>
          </w:rPr>
          <m:t>δ</m:t>
        </m:r>
      </m:oMath>
      <w:r>
        <w:rPr>
          <w:vertAlign w:val="superscript"/>
        </w:rPr>
        <w:t>13</w:t>
      </w:r>
      <w:r>
        <w:t>C</w:t>
      </w:r>
      <w:r>
        <w:rPr>
          <w:vertAlign w:val="subscript"/>
        </w:rPr>
        <w:t>TOC</w:t>
      </w:r>
      <w:r>
        <w:t xml:space="preserve"> is reproducible for different sites and even basins (e.g., Bachan et al. 2012, Blumenberg et al. 2016, Yager et al. 2017), potentially pointing toward a globally extensive event, which might still serve as a (</w:t>
      </w:r>
      <w:r>
        <w:t>regional) stratigraphic marker.</w:t>
      </w:r>
    </w:p>
    <w:p w:rsidR="006D67BC" w:rsidRDefault="00EB3263">
      <w:pPr>
        <w:pStyle w:val="berschrift2"/>
      </w:pPr>
      <w:bookmarkStart w:id="21" w:name="statigraphic-and-environmental-relevance"/>
      <w:bookmarkEnd w:id="21"/>
      <w:r>
        <w:t>Statigraphic and environmental relevance of the Events Beds</w:t>
      </w:r>
    </w:p>
    <w:p w:rsidR="006D67BC" w:rsidRDefault="00EB3263">
      <w:pPr>
        <w:pStyle w:val="FirstParagraph"/>
      </w:pPr>
      <w:r>
        <w:t>The Event Beds have been a prime subject in recent studies ({van de Schootbrugge} et al. 2009, Pálfy &amp; Zajzon 2012, Zajzon et al. 2012, Lindström et al. 2017b)</w:t>
      </w:r>
      <w:r>
        <w:t>, which do not necessarily regard this unit to be the expression of sediment progradation forced by a sea level rise (Hallam &amp; Wignall 1999). Instead the former mentioned studies infer an increased supply of siliciclastic sediments into the basin, possibly</w:t>
      </w:r>
      <w:r>
        <w:t xml:space="preserve"> associated with more intense weathering under hot and humid greenhouse conditions. A fairly consistent positive </w:t>
      </w:r>
      <m:oMath>
        <m:r>
          <w:rPr>
            <w:rFonts w:ascii="Cambria Math" w:hAnsi="Cambria Math"/>
          </w:rPr>
          <m:t>δ</m:t>
        </m:r>
      </m:oMath>
      <w:r>
        <w:rPr>
          <w:vertAlign w:val="superscript"/>
        </w:rPr>
        <w:t>13</w:t>
      </w:r>
      <w:r>
        <w:t>C</w:t>
      </w:r>
      <w:r>
        <w:rPr>
          <w:vertAlign w:val="subscript"/>
        </w:rPr>
        <w:t>TOC</w:t>
      </w:r>
      <w:r>
        <w:t xml:space="preserve"> signature and the K-depleted clay mineral assemblage of the Event Beds further enforce this notion of a supra-regional event, where ei</w:t>
      </w:r>
      <w:r>
        <w:t>ther climate-driven weathering intensification or a sudden terrigenous source change underlies the lithological transition. This sedimentary regime shift clearly differentiates the Event Beds from younger and older deposits.</w:t>
      </w:r>
    </w:p>
    <w:p w:rsidR="006D67BC" w:rsidRDefault="00EB3263">
      <w:pPr>
        <w:pStyle w:val="Textkrper"/>
      </w:pPr>
      <w:r>
        <w:t>The relevance of this sedimenta</w:t>
      </w:r>
      <w:r>
        <w:t>ry regime shift for palaeoenvironmental studies is twofold. First, increased sediment supply may result in dilution of micro- and macro-fossil assemblages and lead to the erroneous inference of a biological collapse. Facies-dependent controls on fossil ass</w:t>
      </w:r>
      <w:r>
        <w:t>emblages, and obtained quantitative estimates of stratigraphic ranges and diversity patterns, are a general concern in palaeontological studies (e.g., Patzkowsky &amp; Holland 2012, Wang et al. 2014). Similarly, variable contributions of land-derived material,</w:t>
      </w:r>
      <w:r>
        <w:t xml:space="preserve"> linked with elevated sediment rates, pose a problem for geochemical studies, as shown here for the stratigraphic potential of </w:t>
      </w:r>
      <m:oMath>
        <m:r>
          <w:rPr>
            <w:rFonts w:ascii="Cambria Math" w:hAnsi="Cambria Math"/>
          </w:rPr>
          <m:t>δ</m:t>
        </m:r>
      </m:oMath>
      <w:r>
        <w:rPr>
          <w:vertAlign w:val="superscript"/>
        </w:rPr>
        <w:t>13</w:t>
      </w:r>
      <w:r>
        <w:t>C</w:t>
      </w:r>
      <w:r>
        <w:rPr>
          <w:vertAlign w:val="subscript"/>
        </w:rPr>
        <w:t>TOC</w:t>
      </w:r>
      <w:r>
        <w:t xml:space="preserve"> and also for the interpretation of trace element enrichment patterns (e.g., Quan et al. 2008, Tanner et al. 2016). Secon</w:t>
      </w:r>
      <w:r>
        <w:t>d, elevated sediment fluxes are suggested to be a prime driver of the environmental perturbation at the Tr–J transition and other extinction events (e.g. the end-Permian mass extinction) by increasing water column turbidity, and siltation which affected be</w:t>
      </w:r>
      <w:r>
        <w:t>nthic filter-feeders on the shelf (Algeo et al. 2011, Lindström et al. (2012)), and by stimulating marine anoxia through through elevated nutrient supply and increased levels of productivity (Meyer et al. 2008, Algeo et al. 2011, Kasprak et al. 2015).</w:t>
      </w:r>
    </w:p>
    <w:p w:rsidR="006D67BC" w:rsidRDefault="00EB3263">
      <w:pPr>
        <w:pStyle w:val="berschrift1"/>
      </w:pPr>
      <w:bookmarkStart w:id="22" w:name="conclusions"/>
      <w:bookmarkEnd w:id="22"/>
      <w:r>
        <w:t>Conc</w:t>
      </w:r>
      <w:r>
        <w:t>lusions</w:t>
      </w:r>
    </w:p>
    <w:p w:rsidR="006D67BC" w:rsidRDefault="00EB3263">
      <w:pPr>
        <w:pStyle w:val="FirstParagraph"/>
      </w:pPr>
      <w:r>
        <w:t>A robust stratigraphic framework is a prime prerequisite to understand the biotic and environmental changes at the Triassic–Jurassic boundary interval. Although carbon isotope records are a promising tool for global correlations by recording pertur</w:t>
      </w:r>
      <w:r>
        <w:t xml:space="preserve">bations of the exogenic carbon reservoir as stratigraphic </w:t>
      </w:r>
      <m:oMath>
        <m:r>
          <w:rPr>
            <w:rFonts w:ascii="Cambria Math" w:hAnsi="Cambria Math"/>
          </w:rPr>
          <m:t>δ</m:t>
        </m:r>
      </m:oMath>
      <w:r>
        <w:rPr>
          <w:vertAlign w:val="superscript"/>
        </w:rPr>
        <w:t>13</w:t>
      </w:r>
      <w:r>
        <w:t xml:space="preserve">C fluctuations, multiple factors can bias this archive. Our study focused on stratigraphic TOC-based carbon isotope fluctuations in terms of their predominant contributors (i.e., organic matter </w:t>
      </w:r>
      <w:r>
        <w:t xml:space="preserve">sources versus the exogenic C pool) for key Tr–J sections. Lithology, macro-fossils and palynomorphs of the Bonenburg and Kuhjoch Tr–J transitional beds form a good basis to correlate these sites within their respective sedimentary basins, but also enable </w:t>
      </w:r>
      <w:r>
        <w:t>a tentative correlation between sections from the CEB and western Tethys shelf seas. Litho- and biostratigraphy of the Bonenburg site confirm the existence of a sedimentary hiatus in the upper Triletes Beds, which are unconformably overlain by the Psilonot</w:t>
      </w:r>
      <w:r>
        <w:t>enton Formation. This hiatus is a feature consistent among Tr–J sections of Northwestern Europe. Our mineralogical investigation reveals that the Event Beds (Triletes Beds and Schattwald Beds) are composed of K-depleted clay minerals (e.g., kaolinite), con</w:t>
      </w:r>
      <w:r>
        <w:t>trasting with the unit’s bracketing lithology. This clay mineral shift is indicative of a terrigenous source change and/or a transition in the climate-controlled shift in the weathering regime. These outcomes corroborate previous interpretations suggesting</w:t>
      </w:r>
      <w:r>
        <w:t xml:space="preserve"> that this lithological unit is an expression of the environmental changes during this time interval. However, these lithological and mineralogical indices also suggest that some stratigraphic </w:t>
      </w:r>
      <m:oMath>
        <m:r>
          <w:rPr>
            <w:rFonts w:ascii="Cambria Math" w:hAnsi="Cambria Math"/>
          </w:rPr>
          <m:t>δ</m:t>
        </m:r>
      </m:oMath>
      <w:r>
        <w:rPr>
          <w:vertAlign w:val="superscript"/>
        </w:rPr>
        <w:t>13</w:t>
      </w:r>
      <w:r>
        <w:t>C</w:t>
      </w:r>
      <w:r>
        <w:rPr>
          <w:vertAlign w:val="subscript"/>
        </w:rPr>
        <w:t>TOC</w:t>
      </w:r>
      <w:r>
        <w:t xml:space="preserve"> fluctuations could have been dictated by changes in th</w:t>
      </w:r>
      <w:r>
        <w:t xml:space="preserve">e sourced organic matter (e.g. marine versus terrestrial OC contributions). A strong correlation between the dominant OC fraction consisting of wood and </w:t>
      </w:r>
      <m:oMath>
        <m:r>
          <w:rPr>
            <w:rFonts w:ascii="Cambria Math" w:hAnsi="Cambria Math"/>
          </w:rPr>
          <m:t>δ</m:t>
        </m:r>
      </m:oMath>
      <w:r>
        <w:rPr>
          <w:vertAlign w:val="superscript"/>
        </w:rPr>
        <w:t>13</w:t>
      </w:r>
      <w:r>
        <w:t>C</w:t>
      </w:r>
      <w:r>
        <w:rPr>
          <w:vertAlign w:val="subscript"/>
        </w:rPr>
        <w:t>TOC</w:t>
      </w:r>
      <w:r>
        <w:t xml:space="preserve"> invokes consideration of a causal effect. In such a scenario, the continentally derived organi</w:t>
      </w:r>
      <w:r>
        <w:t xml:space="preserve">c matter becomes enriched in pre-aged or fossil organic matter, recycled from intensively weathered rock and soil sections. The degraded and selectively preserved products of terrestrial plants, such as wood fragments, are known to harbor a more positive </w:t>
      </w:r>
      <m:oMath>
        <m:r>
          <w:rPr>
            <w:rFonts w:ascii="Cambria Math" w:hAnsi="Cambria Math"/>
          </w:rPr>
          <m:t>δ</m:t>
        </m:r>
      </m:oMath>
      <w:r>
        <w:rPr>
          <w:vertAlign w:val="superscript"/>
        </w:rPr>
        <w:t>13</w:t>
      </w:r>
      <w:r>
        <w:t xml:space="preserve">C signature than more easily degradable products, thereby potentially explaining the </w:t>
      </w:r>
      <w:r>
        <w:rPr>
          <w:vertAlign w:val="superscript"/>
        </w:rPr>
        <w:t>13</w:t>
      </w:r>
      <w:r>
        <w:t xml:space="preserve">C-enriched TOC of the Event Beds. Even though it cannot be ruled out that this shift towards more positive </w:t>
      </w:r>
      <m:oMath>
        <m:r>
          <w:rPr>
            <w:rFonts w:ascii="Cambria Math" w:hAnsi="Cambria Math"/>
          </w:rPr>
          <m:t>δ</m:t>
        </m:r>
      </m:oMath>
      <w:r>
        <w:rPr>
          <w:vertAlign w:val="superscript"/>
        </w:rPr>
        <w:t>13</w:t>
      </w:r>
      <w:r>
        <w:t>C</w:t>
      </w:r>
      <w:r>
        <w:rPr>
          <w:vertAlign w:val="subscript"/>
        </w:rPr>
        <w:t>TOC</w:t>
      </w:r>
      <w:r>
        <w:t xml:space="preserve"> in the Event Beds is a perturbation of the exogeni</w:t>
      </w:r>
      <w:r>
        <w:t xml:space="preserve">c C reservoir, the correlation of K-depleted clay mineralogy and </w:t>
      </w:r>
      <w:r>
        <w:rPr>
          <w:vertAlign w:val="superscript"/>
        </w:rPr>
        <w:t>13</w:t>
      </w:r>
      <w:r>
        <w:t>C-enriched TOC warrants revisiting current notions on the stratigraphic potential of TOC-based δ13C records.</w:t>
      </w:r>
    </w:p>
    <w:p w:rsidR="006D67BC" w:rsidRDefault="00EB3263">
      <w:pPr>
        <w:pStyle w:val="berschrift1"/>
      </w:pPr>
      <w:bookmarkStart w:id="23" w:name="acknowledgments"/>
      <w:bookmarkEnd w:id="23"/>
      <w:r>
        <w:t>Acknowledgments</w:t>
      </w:r>
    </w:p>
    <w:p w:rsidR="006D67BC" w:rsidRDefault="00EB3263">
      <w:pPr>
        <w:pStyle w:val="FirstParagraph"/>
      </w:pPr>
      <w:r>
        <w:t>We acknowledge Joachim Thater of Lücking Ziegelwerke for permiss</w:t>
      </w:r>
      <w:r>
        <w:t>ion to sample the Bonenburg section. We thank Martin Profft for assistance in faunal sampling and identifications and Michael Mertens for assistance in the field, and Manja Hethke for identification of conchostracans. We are indebted to Ralf Thomas Schmitt</w:t>
      </w:r>
      <w:r>
        <w:t xml:space="preserve"> and Kathrin Krahn (Museum für Naturkunde Berlin) for performing the XRF element analysis on the samples. Marianne Falk (MfN, Berlin) is thanked for assistance with the carbon isotope analysis and Mufak S. Naoroz (University of Oslo) for assistance with pa</w:t>
      </w:r>
      <w:r>
        <w:t>lynological sample preparation. We are, furthermore, indebted to Thomas Borsch (Botanical Garden and Botanical Museum Berlin) for providing the microscope for palynofloral analysis and Julien Bachelier (Freie Universität Berlin) for proofreading as well as</w:t>
      </w:r>
      <w:r>
        <w:t xml:space="preserve"> Martin Blumenberg (Bundesanstalt für Geowissenschaften und Rohstoffe) and an anonymous reviewer for constructive comments that significantly improved the manuscript. Funding was provided by the LWL-Museum für Naturkunde, Münster, Germany and by the MfN In</w:t>
      </w:r>
      <w:r>
        <w:t>novationsfond (institute internal grant). This project is associated with the DFG Research Unit TERSANE (FOR 2332: Temperature-related stressors as a unifying principle in ancient extinctions).</w:t>
      </w:r>
    </w:p>
    <w:p w:rsidR="006D67BC" w:rsidRDefault="00EB3263">
      <w:pPr>
        <w:pStyle w:val="berschrift1"/>
      </w:pPr>
      <w:bookmarkStart w:id="24" w:name="references"/>
      <w:bookmarkEnd w:id="24"/>
      <w:r>
        <w:t>References</w:t>
      </w:r>
    </w:p>
    <w:p w:rsidR="006D67BC" w:rsidRDefault="00EB3263">
      <w:pPr>
        <w:pStyle w:val="Literaturverzeichnis"/>
      </w:pPr>
      <w:r>
        <w:t>{ van de Schootbrugge} B, Richoz S, Pross J, Luppol</w:t>
      </w:r>
      <w:r>
        <w:t>d F, Hunze S, Wonik T, Blau J, Meister C, Weijst C van der, Suan G, Fraguas A, Fiebig J, Herrle J, Guex J, Little C, Wignall P, Püttmann W, Oschmann W The Schandelah Scientific Drilling Project: A 25-million year record of Early Jurassic palaeo-environment</w:t>
      </w:r>
      <w:r>
        <w:t>al change from northern Germany. Newsletters on Stratigraphy</w:t>
      </w:r>
    </w:p>
    <w:p w:rsidR="006D67BC" w:rsidRDefault="00EB3263">
      <w:pPr>
        <w:pStyle w:val="Literaturverzeichnis"/>
      </w:pPr>
      <w:r>
        <w:t>Ahlberg A, Olsson I, Šimkevièius P (2003) Triassic-Jurassic weathering and clay mineral dispersal in basement areas and sedimentary basins of southern Sweden. Sedimentary Geology 161:15–29</w:t>
      </w:r>
    </w:p>
    <w:p w:rsidR="006D67BC" w:rsidRDefault="00EB3263">
      <w:pPr>
        <w:pStyle w:val="Literaturverzeichnis"/>
      </w:pPr>
      <w:r>
        <w:t xml:space="preserve">Algeo </w:t>
      </w:r>
      <w:r>
        <w:t>TJ, Kuwahara K, Sano H, Bates S, Lyons T, Elswick E, Hinnov L, Ellwood B, Moser J, Maynard JB (2011) Spatial variation in sediment fluxes, redox conditions, and productivity in the Permian-Triassic Panthalassic Ocean. Palaeogeography, Palaeoclimatology, Pa</w:t>
      </w:r>
      <w:r>
        <w:t>laeoecology 308:65–83</w:t>
      </w:r>
    </w:p>
    <w:p w:rsidR="006D67BC" w:rsidRDefault="00EB3263">
      <w:pPr>
        <w:pStyle w:val="Literaturverzeichnis"/>
      </w:pPr>
      <w:r>
        <w:t>Arndt S, Jørgensen BB, LaRowe DE, Middelburg JJ, Pancost RD, Regnier P (2013) Quantifying the degradation of organic matter in marine sediments: A review and synthesis. Earth-Science Reviews 123:53–86</w:t>
      </w:r>
    </w:p>
    <w:p w:rsidR="006D67BC" w:rsidRDefault="00EB3263">
      <w:pPr>
        <w:pStyle w:val="Literaturverzeichnis"/>
      </w:pPr>
      <w:r>
        <w:t>Arthur MA, Dean WE, Claypool GE (1985) Anomalous 13C enrichment in modern marine organic carbon. Nature 318:216–218</w:t>
      </w:r>
    </w:p>
    <w:p w:rsidR="006D67BC" w:rsidRDefault="00EB3263">
      <w:pPr>
        <w:pStyle w:val="Literaturverzeichnis"/>
      </w:pPr>
      <w:r>
        <w:t>Auguie B (2017) GridExtra: Miscellaneous functions for “grid” graphics.</w:t>
      </w:r>
    </w:p>
    <w:p w:rsidR="006D67BC" w:rsidRDefault="00EB3263">
      <w:pPr>
        <w:pStyle w:val="Literaturverzeichnis"/>
      </w:pPr>
      <w:r>
        <w:t>Bachan A, Schootbrugge B van de, Fiebig J, McRoberts CA, Ciarapica G</w:t>
      </w:r>
      <w:r>
        <w:t>, Payne JL (2012) Carbon cycle dynamics following the end-Triassic mass extinction: Constraints from paired &amp;#948;13Ccarb and &amp;#948;13Corg records. Geochem Geophys Geosyst 13:Q09008</w:t>
      </w:r>
    </w:p>
    <w:p w:rsidR="006D67BC" w:rsidRDefault="00EB3263">
      <w:pPr>
        <w:pStyle w:val="Literaturverzeichnis"/>
      </w:pPr>
      <w:r>
        <w:t>Barth G, Franz M, Heunisch C, Ernst W, Zimmermann J, Wolfgramm M (2018) Ma</w:t>
      </w:r>
      <w:r>
        <w:t>rine and terrestrial sedimentation across the T–J transition in the North German Basin. Palaeogeography, Palaeoclimatology, Palaeoecology 489:74–94</w:t>
      </w:r>
    </w:p>
    <w:p w:rsidR="006D67BC" w:rsidRDefault="00EB3263">
      <w:pPr>
        <w:pStyle w:val="Literaturverzeichnis"/>
      </w:pPr>
      <w:r>
        <w:t>Benner R, Fogel ML, Kent SE, Hodson RE (1987) Depletion of 13C in lignin and its implications for stable car</w:t>
      </w:r>
      <w:r>
        <w:t>bon isotope studies. Nature 329:708–710</w:t>
      </w:r>
    </w:p>
    <w:p w:rsidR="006D67BC" w:rsidRDefault="00EB3263">
      <w:pPr>
        <w:pStyle w:val="Literaturverzeichnis"/>
      </w:pPr>
      <w:r>
        <w:t>Blind W (1963) Die Ammoniten des Lias alpha aus Schwaben, vom Fonsjoch und Breitenberg (Alpen) und ihre entwicklung. Palaeontographica Abteilung A:38–131</w:t>
      </w:r>
    </w:p>
    <w:p w:rsidR="006D67BC" w:rsidRDefault="00EB3263">
      <w:pPr>
        <w:pStyle w:val="Literaturverzeichnis"/>
      </w:pPr>
      <w:r>
        <w:t>Bloos G (1999) Neophyllites (Ammonoidea, Psiloceratidae) in th</w:t>
      </w:r>
      <w:r>
        <w:t>e earliest Jurassic of South Germany. Neues Jahrbuch fur Geologie und Palaontologie Abhandlungen 211:7–29</w:t>
      </w:r>
    </w:p>
    <w:p w:rsidR="006D67BC" w:rsidRDefault="00EB3263">
      <w:pPr>
        <w:pStyle w:val="Literaturverzeichnis"/>
      </w:pPr>
      <w:r>
        <w:t>Bloos G (2004) Psiloceratids of the earliest Jurassic in the North-West European and Mediterranean Provinces: remarks and new observations. Stuttgarte</w:t>
      </w:r>
      <w:r>
        <w:t>r Beiträge zur Naturkunde, Serie B (Geologie und Paläontologie) 347:1–15</w:t>
      </w:r>
    </w:p>
    <w:p w:rsidR="006D67BC" w:rsidRDefault="00EB3263">
      <w:pPr>
        <w:pStyle w:val="Literaturverzeichnis"/>
      </w:pPr>
      <w:r>
        <w:t>Bloos G, Page KN (2000) The basal Jurassic ammonite succession in the north-west European province-review and new results. In: Hall R, Smith PL (eds) Advances in jurassic research 200</w:t>
      </w:r>
      <w:r>
        <w:t>0. proceedings of the fifth international symposium on the jurassic system. georesearch forum.p 27–40</w:t>
      </w:r>
    </w:p>
    <w:p w:rsidR="006D67BC" w:rsidRDefault="00EB3263">
      <w:pPr>
        <w:pStyle w:val="Literaturverzeichnis"/>
      </w:pPr>
      <w:r>
        <w:t>Blumenberg M, Heunisch C, LÃ¼ckge A, Scheeder G, Wiese F (2016) Photic zone euxinia in the central Rhaetian Sea prior the Triassic-Jurassic boundary. Pala</w:t>
      </w:r>
      <w:r>
        <w:t>eogeography, Palaeoclimatology, Palaeoecology 461:55–64</w:t>
      </w:r>
    </w:p>
    <w:p w:rsidR="006D67BC" w:rsidRDefault="00EB3263">
      <w:pPr>
        <w:pStyle w:val="Literaturverzeichnis"/>
      </w:pPr>
      <w:r>
        <w:t>Bonis NR, Kürschner WM, Krystyn L (2009) A detailed palynological study of the Triassic-Jurassic transition in key sections of the Eiberg Basin (Northern Calcareous Alps, Austria). Review of Palaeobot</w:t>
      </w:r>
      <w:r>
        <w:t>any and Palynology 156:376–400</w:t>
      </w:r>
    </w:p>
    <w:p w:rsidR="006D67BC" w:rsidRDefault="00EB3263">
      <w:pPr>
        <w:pStyle w:val="Literaturverzeichnis"/>
      </w:pPr>
      <w:r>
        <w:t>Bonis N, Ruhl M, Kürschner W (2010) Climate change driven black shale deposition during the end-Triassic in the western Tethys. Palaeogeography, Palaeoclimatology, Palaeoecology 290:151–159</w:t>
      </w:r>
    </w:p>
    <w:p w:rsidR="006D67BC" w:rsidRDefault="00EB3263">
      <w:pPr>
        <w:pStyle w:val="Literaturverzeichnis"/>
      </w:pPr>
      <w:r>
        <w:t xml:space="preserve">Bránski P (2014) Climatic disaster </w:t>
      </w:r>
      <w:r>
        <w:t>at the Triassic-Jurassic boundary – a clay minerals and major elements record from the Polish Basin. Geological Quarterly 58:291–310</w:t>
      </w:r>
    </w:p>
    <w:p w:rsidR="006D67BC" w:rsidRDefault="00EB3263">
      <w:pPr>
        <w:pStyle w:val="Literaturverzeichnis"/>
      </w:pPr>
      <w:r>
        <w:t>Broman KW, Broman AT (2017) Broman: Karl broman’s r code.</w:t>
      </w:r>
    </w:p>
    <w:p w:rsidR="006D67BC" w:rsidRDefault="00EB3263">
      <w:pPr>
        <w:pStyle w:val="Literaturverzeichnis"/>
      </w:pPr>
      <w:r>
        <w:t>Buggle B, Glaser B, Hambach U, Gerasimenko N, Marković S (2011) A</w:t>
      </w:r>
      <w:r>
        <w:t>n evaluation of geochemical weathering indices in loess–paleosol studies. Quaternary International 240:12–21</w:t>
      </w:r>
    </w:p>
    <w:p w:rsidR="006D67BC" w:rsidRDefault="00EB3263">
      <w:pPr>
        <w:pStyle w:val="Literaturverzeichnis"/>
      </w:pPr>
      <w:r>
        <w:t>Cernusak L a, Tcherkez G, Keitel C, Cornwell WK, Santiago LS, Knohl A, Barbour MM, Williams DG, Reich PB, Ellsworth DS, Dawson TE, Griffiths HG, Fa</w:t>
      </w:r>
      <w:r>
        <w:t>rquhar GD, Wright IJ (2009) Viewpoint : Why are non-photosynthetic tissues generally 13 C enriched compared with leaves in C 3 plants ? Review and synthesis of current hypotheses. Functional Plant Biology:199–213</w:t>
      </w:r>
    </w:p>
    <w:p w:rsidR="006D67BC" w:rsidRDefault="00EB3263">
      <w:pPr>
        <w:pStyle w:val="Literaturverzeichnis"/>
      </w:pPr>
      <w:r>
        <w:t>Cloern J, Canuel E, Harris D (2002) Stable carbon and nitrogen isotope composition of aquatic and terrestrial plants of the San Francisco Bay estuarine system. Limnology And Oceanography 47:713–729</w:t>
      </w:r>
    </w:p>
    <w:p w:rsidR="006D67BC" w:rsidRDefault="00EB3263">
      <w:pPr>
        <w:pStyle w:val="Literaturverzeichnis"/>
      </w:pPr>
      <w:r>
        <w:t>De Lange GJ (1992) Distribution of Exchangeable, Fixed, Or</w:t>
      </w:r>
      <w:r>
        <w:t>ganic and Total Nitrogen in Interbedded Turbiditic Pelagic Sediments of the Madeira Abyssal-Plain, Eastern North-Atlantic. Marine Geology 109:95–114</w:t>
      </w:r>
    </w:p>
    <w:p w:rsidR="006D67BC" w:rsidRDefault="00EB3263">
      <w:pPr>
        <w:pStyle w:val="Literaturverzeichnis"/>
      </w:pPr>
      <w:r>
        <w:t>Dickens GR, O’Neil JR, Rea DK, Owen RM (1995) Dissociation of oceanic methane hydrate as a cause of the car</w:t>
      </w:r>
      <w:r>
        <w:t>bon isotope excursion at the end of the Paleocene. Paleoceanography 10:965–971</w:t>
      </w:r>
    </w:p>
    <w:p w:rsidR="006D67BC" w:rsidRDefault="00EB3263">
      <w:pPr>
        <w:pStyle w:val="Literaturverzeichnis"/>
      </w:pPr>
      <w:r>
        <w:t>Dunhill AM, Foster WJ, Sciberras J, Twitchett RJ (2017) Impact of the Late Triassic mass extinction on functional diversity and composition of marine ecosystems. Palaeontology:1</w:t>
      </w:r>
      <w:r>
        <w:t>–16</w:t>
      </w:r>
    </w:p>
    <w:p w:rsidR="006D67BC" w:rsidRDefault="00EB3263">
      <w:pPr>
        <w:pStyle w:val="Literaturverzeichnis"/>
      </w:pPr>
      <w:r>
        <w:t>Farquhar GD, Ehleringer JR, Hubick KT (1989) Carbon Isotope Discrimination and Photosynthesis. Annual Review: Plant Physiology Plant Molecular Biology 40:503–537</w:t>
      </w:r>
    </w:p>
    <w:p w:rsidR="006D67BC" w:rsidRDefault="00EB3263">
      <w:pPr>
        <w:pStyle w:val="Literaturverzeichnis"/>
      </w:pPr>
      <w:r>
        <w:t>Fischer V, Cappetta H, Vincent P, Garcia Gr, Goolaerts S, Martin JE, Roggero D, Valentin X</w:t>
      </w:r>
      <w:r>
        <w:t xml:space="preserve"> (2014) Ichthyosaurs from the French Rhaetian indicate a severe turnover across the Triassic–Jurassic boundary. Naturwissenschaften 101:1027–1040</w:t>
      </w:r>
    </w:p>
    <w:p w:rsidR="006D67BC" w:rsidRDefault="00EB3263">
      <w:pPr>
        <w:pStyle w:val="Literaturverzeichnis"/>
      </w:pPr>
      <w:r>
        <w:t>Fischer J, Voigt S, Franz M, Schneider JW, Joachimski MM, Tichomirowa M, Götze J, Furrer H (2012) Palaeoenviro</w:t>
      </w:r>
      <w:r>
        <w:t>nments of the late Triassic Rhaetian Sea: Implications from oxygen and strontium isotopes of hybodont shark teeth. Palaeogeography, Palaeoclimatology, Palaeoecology 353-355:60–72</w:t>
      </w:r>
    </w:p>
    <w:p w:rsidR="006D67BC" w:rsidRDefault="00EB3263">
      <w:pPr>
        <w:pStyle w:val="Literaturverzeichnis"/>
      </w:pPr>
      <w:r>
        <w:t xml:space="preserve">Golebiowski R (1990) The Alpine Kössen Formation, a key for European topmost </w:t>
      </w:r>
      <w:r>
        <w:t>Triassic correlations. Albertiana 8:25–35</w:t>
      </w:r>
    </w:p>
    <w:p w:rsidR="006D67BC" w:rsidRDefault="00EB3263">
      <w:pPr>
        <w:pStyle w:val="Literaturverzeichnis"/>
      </w:pPr>
      <w:r>
        <w:t>Grimm E (2011) Tilia, TiliaGraph and TGView software.</w:t>
      </w:r>
    </w:p>
    <w:p w:rsidR="006D67BC" w:rsidRDefault="00EB3263">
      <w:pPr>
        <w:pStyle w:val="Literaturverzeichnis"/>
      </w:pPr>
      <w:r>
        <w:t>Guex J, Bartolini A, Atudorei V, Taylor D (2004) High-resolution ammonite and carbon isotope stratigraphy across the Triassic–Jurassic boundary at New York Cany</w:t>
      </w:r>
      <w:r>
        <w:t>on (Nevada). Earth and Planetary Science Letters 225:29–41</w:t>
      </w:r>
    </w:p>
    <w:p w:rsidR="006D67BC" w:rsidRDefault="00EB3263">
      <w:pPr>
        <w:pStyle w:val="Literaturverzeichnis"/>
      </w:pPr>
      <w:r>
        <w:t>Guex J, Bucher H, Taylor D, Rakus M (1998) Deux nouveaux genres et quatre nouvelles especes d’ammonites (Cephalopoda) du Lias inferieur. Bulletin de la Société vaudoise des Sciences naturelles 86:7</w:t>
      </w:r>
      <w:r>
        <w:t>3–85</w:t>
      </w:r>
    </w:p>
    <w:p w:rsidR="006D67BC" w:rsidRDefault="00EB3263">
      <w:pPr>
        <w:pStyle w:val="Literaturverzeichnis"/>
      </w:pPr>
      <w:r>
        <w:t>Hallam A (1981) The end-Triassic bivalve extinction event. Palaeogeography, Palaeoclimatology, Palaeoecology 35:1–44</w:t>
      </w:r>
    </w:p>
    <w:p w:rsidR="006D67BC" w:rsidRDefault="00EB3263">
      <w:pPr>
        <w:pStyle w:val="Literaturverzeichnis"/>
      </w:pPr>
      <w:r>
        <w:t>Hallam A, Wignall PB (1999) Mass extinctions and sea-level changes. Earth Science Reviews 48:217–250</w:t>
      </w:r>
    </w:p>
    <w:p w:rsidR="006D67BC" w:rsidRDefault="00EB3263">
      <w:pPr>
        <w:pStyle w:val="Literaturverzeichnis"/>
      </w:pPr>
      <w:r>
        <w:t>Hamilton N (2017) Ggtern: An exte</w:t>
      </w:r>
      <w:r>
        <w:t>nsion to ’ggplot2’, for the creation of ternary diagrams.</w:t>
      </w:r>
    </w:p>
    <w:p w:rsidR="006D67BC" w:rsidRDefault="00EB3263">
      <w:pPr>
        <w:pStyle w:val="Literaturverzeichnis"/>
      </w:pPr>
      <w:r>
        <w:t xml:space="preserve">Hayes JM, Strauss H, Kaufman AJ (1999) The abundance of 13C in marine organic matter and isotopic fractionation in the global biogeochemical cycle of carbon during the past 800 Ma. Chemical Geology </w:t>
      </w:r>
      <w:r>
        <w:t>161:103–125</w:t>
      </w:r>
    </w:p>
    <w:p w:rsidR="006D67BC" w:rsidRDefault="00EB3263">
      <w:pPr>
        <w:pStyle w:val="Literaturverzeichnis"/>
      </w:pPr>
      <w:r>
        <w:t>Hedges JI, Keil RG (1995) Sedimentary organic matter preservation: an assessment and speculative synthesis. Marine Chemistry 49:81–115</w:t>
      </w:r>
    </w:p>
    <w:p w:rsidR="006D67BC" w:rsidRDefault="00EB3263">
      <w:pPr>
        <w:pStyle w:val="Literaturverzeichnis"/>
      </w:pPr>
      <w:r>
        <w:t xml:space="preserve">Hedges JI, Hu FS, Devol AH, Hartnett HE, Tsamakis E, Keil RG (1999) Sedimentary organic matter preservation: </w:t>
      </w:r>
      <w:r>
        <w:t>A test for selective degradation under oxic conditions. American Journal of Science 299:529–555</w:t>
      </w:r>
    </w:p>
    <w:p w:rsidR="006D67BC" w:rsidRDefault="00EB3263">
      <w:pPr>
        <w:pStyle w:val="Literaturverzeichnis"/>
      </w:pPr>
      <w:r>
        <w:t>Hesselbo SP, Robinson SA, Surlyk F (2004) Sea-level change and facies development across potential Triassic–Jurassic boundary horizons, SW Britain. Journal of t</w:t>
      </w:r>
      <w:r>
        <w:t>he Geological Society 161:365–379</w:t>
      </w:r>
    </w:p>
    <w:p w:rsidR="006D67BC" w:rsidRDefault="00EB3263">
      <w:pPr>
        <w:pStyle w:val="Literaturverzeichnis"/>
      </w:pPr>
      <w:r>
        <w:t>Hesselbo SP, Robinson SA, Surlyk F, Piasecki S (2002) Terrestrial and marine mass extinction at the Triassic/Jurassic boundary synchronized with initiation of massive volcanism. Geology 30:251–254</w:t>
      </w:r>
    </w:p>
    <w:p w:rsidR="006D67BC" w:rsidRDefault="00EB3263">
      <w:pPr>
        <w:pStyle w:val="Literaturverzeichnis"/>
      </w:pPr>
      <w:r>
        <w:t>Heunisch C, Luppold FW, R</w:t>
      </w:r>
      <w:r>
        <w:t>einhardt L, Röhling H-G (2010) Palynofazies, Bio- und Lithostratigrafie im Grenzbereich Trias/Jura in der Bohrung Mariental 1 (Lappwaldmulde, Ostniedersachsen) &lt;BR&gt;[Palynofacies, bio- and lithostratigraphy at the Triassic/Jurassic boundary in the Mariental</w:t>
      </w:r>
      <w:r>
        <w:t xml:space="preserve"> 1 borehole (Lappwald Syncline. Zeitschrift der Deutschen Gesellschaft für Geowissenschaften 161:51–98</w:t>
      </w:r>
    </w:p>
    <w:p w:rsidR="006D67BC" w:rsidRDefault="00EB3263">
      <w:pPr>
        <w:pStyle w:val="Literaturverzeichnis"/>
      </w:pPr>
      <w:r>
        <w:t>Holmden C, Creaser RA, Muehlenbachs K, Leslie SA, Bergström SM (1998) Isotopic evidence for geochemical decoupling between ancient epeiric seas and borde</w:t>
      </w:r>
      <w:r>
        <w:t>ring oceans: implications for secular curves. Geology 26:567–570</w:t>
      </w:r>
    </w:p>
    <w:p w:rsidR="006D67BC" w:rsidRDefault="00EB3263">
      <w:pPr>
        <w:pStyle w:val="Literaturverzeichnis"/>
      </w:pPr>
      <w:r>
        <w:t>Hounslow MW, Posen PE, Warrington G (2004) Magnetostratigraphy and biostratigraphy of the Upper Triassic and lowermost Jurassic succession, St. Audrie’s Bay, UK. Palaeogeography, Palaeoclimat</w:t>
      </w:r>
      <w:r>
        <w:t>ology, Palaeoecology 213:331–358</w:t>
      </w:r>
    </w:p>
    <w:p w:rsidR="006D67BC" w:rsidRDefault="00EB3263">
      <w:pPr>
        <w:pStyle w:val="Literaturverzeichnis"/>
      </w:pPr>
      <w:r>
        <w:t>Hönisch B, Ridgwell A, Schmidt DN, Thomas E, Gibbs SJ, Sluijs A, Zeebe R, Kump L, Martindale RC, Greene SE, Kiessling W, Ries J, Zachos JC, Royer DL, Barker S, Marchitto TM, Moyer R, Pelejero C, Ziveri P, Foster GL, William</w:t>
      </w:r>
      <w:r>
        <w:t>s B (2012) The geological record of ocean acidification. Science (New York, NY) 335:1058–63</w:t>
      </w:r>
    </w:p>
    <w:p w:rsidR="006D67BC" w:rsidRDefault="00EB3263">
      <w:pPr>
        <w:pStyle w:val="Literaturverzeichnis"/>
      </w:pPr>
      <w:r>
        <w:t>Ivimey-Cook H, Hodges P, Swift A, Radley J (1999) Bivalves. In: Swift A, Martill DM (eds) Fossils of the rhaetian penarth group. The Palaeontological Association, L</w:t>
      </w:r>
      <w:r>
        <w:t>ondon, p 83–127</w:t>
      </w:r>
    </w:p>
    <w:p w:rsidR="006D67BC" w:rsidRDefault="00EB3263">
      <w:pPr>
        <w:pStyle w:val="Literaturverzeichnis"/>
      </w:pPr>
      <w:r>
        <w:t>Jahren HA (2004) The carbon stable isotope composition of pollen. Review of Palaeobotany and Palynology 132:291–313</w:t>
      </w:r>
    </w:p>
    <w:p w:rsidR="006D67BC" w:rsidRDefault="00EB3263">
      <w:pPr>
        <w:pStyle w:val="Literaturverzeichnis"/>
      </w:pPr>
      <w:r>
        <w:t>Jüngst H (1928) Rät, psilonoten-und schlotheimienschichten im nördlichen harzvorlande. PhD thesis, Friedrich-Wilhelms-Univer</w:t>
      </w:r>
      <w:r>
        <w:t>sität zu Berlin</w:t>
      </w:r>
    </w:p>
    <w:p w:rsidR="006D67BC" w:rsidRDefault="00EB3263">
      <w:pPr>
        <w:pStyle w:val="Literaturverzeichnis"/>
      </w:pPr>
      <w:r>
        <w:t>Kasprak AH, Sepúlveda J, Price-Waldman R, Williford KH, Schoepfer SD, Haggart JW, Ward PD, Summons RE, Whiteside JH (2015) Episodic photic zone euxinia in the northeastern Panthalassic Ocean during the end-Triassic extinction. Geology 43:30</w:t>
      </w:r>
      <w:r>
        <w:t>7–310</w:t>
      </w:r>
    </w:p>
    <w:p w:rsidR="006D67BC" w:rsidRDefault="00EB3263">
      <w:pPr>
        <w:pStyle w:val="Literaturverzeichnis"/>
      </w:pPr>
      <w:r>
        <w:t>Kiessling W, Aberhan M, Brenneis B, Wagner PJ (2007) Extinction trajectories of benthic organisms across the Triassic-Jurassic boundary. Palaeogeography, Palaeoclimatology, Palaeoecology 244:201–222</w:t>
      </w:r>
    </w:p>
    <w:p w:rsidR="006D67BC" w:rsidRDefault="00EB3263">
      <w:pPr>
        <w:pStyle w:val="Literaturverzeichnis"/>
      </w:pPr>
      <w:r>
        <w:t xml:space="preserve">Klaus W von (1960) Sporen der Karnischen Stufe der </w:t>
      </w:r>
      <w:r>
        <w:t>ostalpinen Trias. Geologisches Jahrbuch der Geologischen Bundesanstalt 5:107–184</w:t>
      </w:r>
    </w:p>
    <w:p w:rsidR="006D67BC" w:rsidRDefault="00EB3263">
      <w:pPr>
        <w:pStyle w:val="Literaturverzeichnis"/>
      </w:pPr>
      <w:r>
        <w:t>Klompmaker AA, Waldemar Herngreen GF, Oosterink HW (2010) Biostratigraphic correlation, paleoenvironment stress, and subrosion pipe collapse: Dutch Rhaetian shales uncover their secrets. Facies 56:597–613</w:t>
      </w:r>
    </w:p>
    <w:p w:rsidR="006D67BC" w:rsidRDefault="00EB3263">
      <w:pPr>
        <w:pStyle w:val="Literaturverzeichnis"/>
      </w:pPr>
      <w:r>
        <w:t>Konhauser KO, Schiffman P, Fisher QJ (2002) Microbi</w:t>
      </w:r>
      <w:r>
        <w:t>al mediation of authigenic clays during hydrothermal alteration of basaltic tephra, Kilauea Volcano. Geochemistry, Geophysics, Geosystems 3:1–13</w:t>
      </w:r>
    </w:p>
    <w:p w:rsidR="006D67BC" w:rsidRDefault="00EB3263">
      <w:pPr>
        <w:pStyle w:val="Literaturverzeichnis"/>
      </w:pPr>
      <w:r>
        <w:t>Koohafkan MC (2015) Kfigr: Integrated code chunk anchoring and referencing for r markdown documents.</w:t>
      </w:r>
    </w:p>
    <w:p w:rsidR="006D67BC" w:rsidRDefault="00EB3263">
      <w:pPr>
        <w:pStyle w:val="Literaturverzeichnis"/>
      </w:pPr>
      <w:r>
        <w:t xml:space="preserve">Korneisel </w:t>
      </w:r>
      <w:r>
        <w:t>D, Gallois RW, Duffin CJ, Benton MJ (2015) Latest Triassic marine sharks and bony fishes from a bone bed preserved in a burrow system, from Devon, UK. Proceedings of the Geologists’ Association 126:130–142</w:t>
      </w:r>
    </w:p>
    <w:p w:rsidR="006D67BC" w:rsidRDefault="00EB3263">
      <w:pPr>
        <w:pStyle w:val="Literaturverzeichnis"/>
      </w:pPr>
      <w:r>
        <w:t>Kozur HW, Weems RE (2010) The biostratigraphic imp</w:t>
      </w:r>
      <w:r>
        <w:t>ortance of conchostracans in the continental Triassic of the northern hemisphere. Geological Society, London, Special Publications 334:315–417</w:t>
      </w:r>
    </w:p>
    <w:p w:rsidR="006D67BC" w:rsidRDefault="00EB3263">
      <w:pPr>
        <w:pStyle w:val="Literaturverzeichnis"/>
      </w:pPr>
      <w:r>
        <w:t xml:space="preserve">Krystyn L, Bohm F, Kurschner W, Delecat S (2005) Field trip in Austria The Triassic </w:t>
      </w:r>
      <w:r>
        <w:t>– Jurassic boundary in the Northern Calcareous Alps.:14</w:t>
      </w:r>
    </w:p>
    <w:p w:rsidR="006D67BC" w:rsidRDefault="00EB3263">
      <w:pPr>
        <w:pStyle w:val="Literaturverzeichnis"/>
      </w:pPr>
      <w:r>
        <w:t>Kuerschner WM, Bonis NR, Krystyn L (2007) Carbon-isotope stratigraphy and palynostratigraphy of the Triassic-Jurassic transition in the Tiefengraben section - Northern Calcareous Alps (Austria). Palae</w:t>
      </w:r>
      <w:r>
        <w:t>ogeography, Palaeoclimatology, Palaeoecology 244:257–280</w:t>
      </w:r>
    </w:p>
    <w:p w:rsidR="006D67BC" w:rsidRDefault="00EB3263">
      <w:pPr>
        <w:pStyle w:val="Literaturverzeichnis"/>
      </w:pPr>
      <w:r>
        <w:t>Kump LR (1989) Alternative modeling approaches to the geochemical cycles of carbon, sulfur, and strontium isotopes. 289:390–410</w:t>
      </w:r>
    </w:p>
    <w:p w:rsidR="006D67BC" w:rsidRDefault="00EB3263">
      <w:pPr>
        <w:pStyle w:val="Literaturverzeichnis"/>
      </w:pPr>
      <w:r>
        <w:t>Kump LR, Arthur MA (1999) Interpreting carbon-isotope excursions: carbo</w:t>
      </w:r>
      <w:r>
        <w:t>nates and organic matter. Chemical Geology 161:181–198</w:t>
      </w:r>
    </w:p>
    <w:p w:rsidR="006D67BC" w:rsidRDefault="00EB3263">
      <w:pPr>
        <w:pStyle w:val="Literaturverzeichnis"/>
      </w:pPr>
      <w:r>
        <w:t>Lange W (1941) Die Ammonitenfauna der Psiloceras-Stufe Norddeutschlands. Palaeontographica Abteilung A:1–192</w:t>
      </w:r>
    </w:p>
    <w:p w:rsidR="006D67BC" w:rsidRDefault="00EB3263">
      <w:pPr>
        <w:pStyle w:val="Literaturverzeichnis"/>
      </w:pPr>
      <w:r>
        <w:t>Lange W (1952) Der untere Lias am Fonsjoch (östliches Karwendelgebirge) und seine Ammonitenf</w:t>
      </w:r>
      <w:r>
        <w:t>auna. Palaeontographica Abteilung A:49–162</w:t>
      </w:r>
    </w:p>
    <w:p w:rsidR="006D67BC" w:rsidRDefault="00EB3263">
      <w:pPr>
        <w:pStyle w:val="Literaturverzeichnis"/>
      </w:pPr>
      <w:r>
        <w:t>Larsson LM (2009) Palynostratigraphy of the Triassic-Jurassic transition in southern Sweden. Gff 131:147–163</w:t>
      </w:r>
    </w:p>
    <w:p w:rsidR="006D67BC" w:rsidRDefault="00EB3263">
      <w:pPr>
        <w:pStyle w:val="Literaturverzeichnis"/>
      </w:pPr>
      <w:r>
        <w:t xml:space="preserve">Lehmann M, Bernasconi S, Barbieri A, McKenzie J (2002) Preservation of organic matter and alteration of </w:t>
      </w:r>
      <w:r>
        <w:t>its carbon and nitrogen isotope composition during simulated and in situ early sedimentary diagenesis. Geochimica et Cosmochimica Acta 66:3573–3584</w:t>
      </w:r>
    </w:p>
    <w:p w:rsidR="006D67BC" w:rsidRDefault="00EB3263">
      <w:pPr>
        <w:pStyle w:val="Literaturverzeichnis"/>
      </w:pPr>
      <w:r>
        <w:t>Lindström S, Erlström M, Piasecki S, Nielsen LH, Mathiesen A (2017a) Palynology and terrestrial ecosystem ch</w:t>
      </w:r>
      <w:r>
        <w:t>ange of the Middle Triassic to lowermost Jurassic succession of the eastern Danish Basin. Review of Palaeobotany and Palynology 244:65–95</w:t>
      </w:r>
    </w:p>
    <w:p w:rsidR="006D67BC" w:rsidRDefault="00EB3263">
      <w:pPr>
        <w:pStyle w:val="Literaturverzeichnis"/>
      </w:pPr>
      <w:r>
        <w:t xml:space="preserve">Lindström S, Pedersen GK, Schootbrugge B van de, Hansen KH, Kuhlmann N, Thein J, Johansson L, Petersen HI, Alwmark C, </w:t>
      </w:r>
      <w:r>
        <w:t>Dybkjær K, Weibel R, Erlström M, Nielsen LH, Oschmann W, Tegner C (2015) Intense and widespread seismicity during the end-Triassic mass extinction due to emplacement of a large igneous province. Geology 43:387–390</w:t>
      </w:r>
    </w:p>
    <w:p w:rsidR="006D67BC" w:rsidRDefault="00EB3263">
      <w:pPr>
        <w:pStyle w:val="Literaturverzeichnis"/>
      </w:pPr>
      <w:r>
        <w:t>Lindström S, Schootbrugge B van de, Dybkjæ</w:t>
      </w:r>
      <w:r>
        <w:t>r K, Pedersen GK, Fiebig J, Nielsen LH, Richoz S (2012) No causal link between terrestrial ecosystem change and methane release during the end-Triassic mass extinction. Geology 40:531–534</w:t>
      </w:r>
    </w:p>
    <w:p w:rsidR="006D67BC" w:rsidRDefault="00EB3263">
      <w:pPr>
        <w:pStyle w:val="Literaturverzeichnis"/>
      </w:pPr>
      <w:r>
        <w:t xml:space="preserve">Lindström S, {van de Schootbrugge} B, Hansen KH, Pedersen GK, Alsen </w:t>
      </w:r>
      <w:r>
        <w:t>P, Thibault N, Dybkjær K, Bjerrum CJ, Nielsen LH (2017b) A new correlation of Triassic–Jurassic boundary successions in NW Europe, Nevada and Peru, and the Central Atlantic Magmatic Province: A time-line for the end-Triassic mass extinction. Palaeogeograph</w:t>
      </w:r>
      <w:r>
        <w:t>y, Palaeoclimatology, Palaeoecology 478:80–102</w:t>
      </w:r>
    </w:p>
    <w:p w:rsidR="006D67BC" w:rsidRDefault="00EB3263">
      <w:pPr>
        <w:pStyle w:val="Literaturverzeichnis"/>
      </w:pPr>
      <w:r>
        <w:t>Lomax D, {De la Salle} P, Massare J, Gallois R (2018) A giant Late Triassic ichthyosaur from the UK and a reinterpretation of the Aust Cliff ‘dinosaurian’ bones. PLoS ONE 113:e0194742.</w:t>
      </w:r>
    </w:p>
    <w:p w:rsidR="006D67BC" w:rsidRDefault="00EB3263">
      <w:pPr>
        <w:pStyle w:val="Literaturverzeichnis"/>
      </w:pPr>
      <w:r>
        <w:t>Lund JJ (1977) Rhaetic t</w:t>
      </w:r>
      <w:r>
        <w:t>o Lower Liassic palynology of the onshore south-eastern North Sea Basin. CA Reitzels</w:t>
      </w:r>
    </w:p>
    <w:p w:rsidR="006D67BC" w:rsidRDefault="00EB3263">
      <w:pPr>
        <w:pStyle w:val="Literaturverzeichnis"/>
      </w:pPr>
      <w:r>
        <w:t>Mander L, Twitchet t R, Benton M (2008) Palaeoecology of the Late Triassic extinction event in the SW UK. Journal of the Geological Society London 165:319–332</w:t>
      </w:r>
    </w:p>
    <w:p w:rsidR="006D67BC" w:rsidRDefault="00EB3263">
      <w:pPr>
        <w:pStyle w:val="Literaturverzeichnis"/>
      </w:pPr>
      <w:r>
        <w:t>Marzoli A, C</w:t>
      </w:r>
      <w:r>
        <w:t>allegaro S, Corso JD, Davies JHFL, Chiaradia M, Youbi N, Reisberg L, Merle R, Jourdan F (2018) The Central Atlantic Magmatic Province (CAMP): A Review. In: Tanner L (ed) The late triassic world, topics in geobiology 46. Springer, p 91–125</w:t>
      </w:r>
    </w:p>
    <w:p w:rsidR="006D67BC" w:rsidRDefault="00EB3263">
      <w:pPr>
        <w:pStyle w:val="Literaturverzeichnis"/>
      </w:pPr>
      <w:r>
        <w:t>McElwain JC, Beer</w:t>
      </w:r>
      <w:r>
        <w:t>ling DJ, Woodward FI (1999) Fossil plants and global warming at the Triassic-Jurassic boundary. Science 285:1386–1390</w:t>
      </w:r>
    </w:p>
    <w:p w:rsidR="006D67BC" w:rsidRDefault="00EB3263">
      <w:pPr>
        <w:pStyle w:val="Literaturverzeichnis"/>
      </w:pPr>
      <w:r>
        <w:t>Mears EM, Rossi V, MacDonald E, Coleman G, Davies TG, Arias-Riesgo C, Hildebrand C, Thiel H, Duffin CJ, Whiteside DI, Benton MJ (2016) The</w:t>
      </w:r>
      <w:r>
        <w:t xml:space="preserve"> Rhaetian (Late Triassic) vertebrates of Hampstead Farm Quarry, Gloucestershire, UK. Proceedings of the Geologist’s Association 127:478–505</w:t>
      </w:r>
    </w:p>
    <w:p w:rsidR="006D67BC" w:rsidRDefault="00EB3263">
      <w:pPr>
        <w:pStyle w:val="Literaturverzeichnis"/>
      </w:pPr>
      <w:r>
        <w:t>Meyer K, Kump L, Ridgwell A (2008) Biogeochemical controls on photic-zone euxinia during the end-Permian mass extinc</w:t>
      </w:r>
      <w:r>
        <w:t>tion. Geology 36:747</w:t>
      </w:r>
    </w:p>
    <w:p w:rsidR="006D67BC" w:rsidRDefault="00EB3263">
      <w:pPr>
        <w:pStyle w:val="Literaturverzeichnis"/>
      </w:pPr>
      <w:r>
        <w:t>Meyers PA (1994) Preservation of elemental and isotopic source identification of sedimentary organic matter. Chemical Geology 114:289–302</w:t>
      </w:r>
    </w:p>
    <w:p w:rsidR="006D67BC" w:rsidRDefault="00EB3263">
      <w:pPr>
        <w:pStyle w:val="Literaturverzeichnis"/>
      </w:pPr>
      <w:r>
        <w:t>Michalik J, Biron A, Lintnerova O, Götz A, Ruckwied K (2010) Climate change at the Triassic-Juras</w:t>
      </w:r>
      <w:r>
        <w:t>sic boundary in the northwestern Tethyan realm, inferred from sections in the Tatra Mountains (Slovakia). Acta Geologica Polonica 60:535–548</w:t>
      </w:r>
    </w:p>
    <w:p w:rsidR="006D67BC" w:rsidRDefault="00EB3263">
      <w:pPr>
        <w:pStyle w:val="Literaturverzeichnis"/>
      </w:pPr>
      <w:r>
        <w:t>Michalopoulos P, Aller RC (2004) Early diagenesis of biogenic silica in the Amazon delta: Alteration, authigenic cl</w:t>
      </w:r>
      <w:r>
        <w:t>ay formation, and storage. Geochimica et Cosmochimica Acta 68:1061–1085</w:t>
      </w:r>
    </w:p>
    <w:p w:rsidR="006D67BC" w:rsidRDefault="00EB3263">
      <w:pPr>
        <w:pStyle w:val="Literaturverzeichnis"/>
      </w:pPr>
      <w:r>
        <w:t>Morbey SJ (1975) The palynostratigraphy of the Rhaetian stage, Upper Triassic in the Kendelbachgraben, Austria. Palaeontographica Abteilung B 152:1–75</w:t>
      </w:r>
    </w:p>
    <w:p w:rsidR="006D67BC" w:rsidRDefault="00EB3263">
      <w:pPr>
        <w:pStyle w:val="Literaturverzeichnis"/>
      </w:pPr>
      <w:r>
        <w:t>Nesbitt HW, Young GM (1984) Predi</w:t>
      </w:r>
      <w:r>
        <w:t>ction of Some Weathering Trends of Plutonic and Volcanic-Rocks Based on Thermodynamic and Kinetic Considerations. Geochimica Et Cosmochimica Acta 48:1523–1534</w:t>
      </w:r>
    </w:p>
    <w:p w:rsidR="006D67BC" w:rsidRDefault="00EB3263">
      <w:pPr>
        <w:pStyle w:val="Literaturverzeichnis"/>
      </w:pPr>
      <w:r>
        <w:t xml:space="preserve">Nilsson T (1958) </w:t>
      </w:r>
      <w:r>
        <w:t>Über das Vorkommen eines mesozoischen Sapropelgesteins in Schonen. Acta Universitatis Lundensis 54:1–109</w:t>
      </w:r>
    </w:p>
    <w:p w:rsidR="006D67BC" w:rsidRDefault="00EB3263">
      <w:pPr>
        <w:pStyle w:val="Literaturverzeichnis"/>
      </w:pPr>
      <w:r>
        <w:t>Page KN (2002) A review of the ammonite faunas and standard zonation of the Hettangian and Lower Sinemurian succession (Lower Jurassic) of the east Dev</w:t>
      </w:r>
      <w:r>
        <w:t>on coast (south west England). Geoscience in south west England 10:293–303</w:t>
      </w:r>
    </w:p>
    <w:p w:rsidR="006D67BC" w:rsidRDefault="00EB3263">
      <w:pPr>
        <w:pStyle w:val="Literaturverzeichnis"/>
      </w:pPr>
      <w:r>
        <w:t>Page KN, Bloos G (1998) The base of the Jurassic System in west Somerset, south-west England-New observations on the succession of ammonite faunas of the lowest Hettangian Stage. Pr</w:t>
      </w:r>
      <w:r>
        <w:t>oceedings of the Ussher Sociey 9:231–235</w:t>
      </w:r>
    </w:p>
    <w:p w:rsidR="006D67BC" w:rsidRDefault="00EB3263">
      <w:pPr>
        <w:pStyle w:val="Literaturverzeichnis"/>
      </w:pPr>
      <w:r>
        <w:t>Patzkowsky ME, Holland SM (2012) Stratigraphic Paleobiology: Understanding the distribution of fossil taxa in time and space. University of Chicago Press</w:t>
      </w:r>
    </w:p>
    <w:p w:rsidR="006D67BC" w:rsidRDefault="00EB3263">
      <w:pPr>
        <w:pStyle w:val="Literaturverzeichnis"/>
      </w:pPr>
      <w:r>
        <w:t>Pálfy J, Zajzon N (2012) Environmental changes across the Tri</w:t>
      </w:r>
      <w:r>
        <w:t>assic-Jurassic boundary and coeval volcanism inferred from elemental geochemistry and mineralogy in the Kendlbachgraben section (Northern Calcareous Alps, Austria). Earth and Planetary Science Letters 335-336:121–134</w:t>
      </w:r>
    </w:p>
    <w:p w:rsidR="006D67BC" w:rsidRDefault="00EB3263">
      <w:pPr>
        <w:pStyle w:val="Literaturverzeichnis"/>
      </w:pPr>
      <w:r>
        <w:t xml:space="preserve">Pedersen KR, Lund JJ (1980) Palynology </w:t>
      </w:r>
      <w:r>
        <w:t>of the Plant-Bearing Rhaetian to Hettangian Kap Stewart Formation, Scoresby Sund, East Greenland. Review of Palaeobotany and Palynology 31:1–69</w:t>
      </w:r>
    </w:p>
    <w:p w:rsidR="006D67BC" w:rsidRDefault="00EB3263">
      <w:pPr>
        <w:pStyle w:val="Literaturverzeichnis"/>
      </w:pPr>
      <w:r>
        <w:t>Quan TM, Schootbrugge B van de, Field MP, Rosenthal Y, Falkowski PG (2008) Nitrogen isotope and trace metal anal</w:t>
      </w:r>
      <w:r>
        <w:t>yses from the Mingolsheim core (Germany): Evidence for redox variations across the Triassic-Jurassic boundary. Global Biogeochemical Cycles 22:1–14</w:t>
      </w:r>
    </w:p>
    <w:p w:rsidR="006D67BC" w:rsidRDefault="00EB3263">
      <w:pPr>
        <w:pStyle w:val="Literaturverzeichnis"/>
      </w:pPr>
      <w:r>
        <w:t>R Core Team (2018) R: A language and environment for statistical computing. R Foundation for Statistical Com</w:t>
      </w:r>
      <w:r>
        <w:t>puting, Vienna, Austria</w:t>
      </w:r>
    </w:p>
    <w:p w:rsidR="006D67BC" w:rsidRDefault="00EB3263">
      <w:pPr>
        <w:pStyle w:val="Literaturverzeichnis"/>
      </w:pPr>
      <w:r>
        <w:t>Raup DM, Sepkoski JJJ (1982) Mass extinctions in the marine fossil record. Science 215:10–12</w:t>
      </w:r>
    </w:p>
    <w:p w:rsidR="006D67BC" w:rsidRDefault="00EB3263">
      <w:pPr>
        <w:pStyle w:val="Literaturverzeichnis"/>
      </w:pPr>
      <w:r>
        <w:t>Ruhl M, Bonis NR, Reichart G-J, Sinninghe Damsté JS, Kürschner WM (2011) Atmospheric Carbon Injection Linked to end-Triassic Mass Extinctio</w:t>
      </w:r>
      <w:r>
        <w:t>n. Science 333:430–434</w:t>
      </w:r>
    </w:p>
    <w:p w:rsidR="006D67BC" w:rsidRDefault="00EB3263">
      <w:pPr>
        <w:pStyle w:val="Literaturverzeichnis"/>
      </w:pPr>
      <w:r>
        <w:t>Ruhl M, Kürschner WM, Krystyn L (2009) Triassic-Jurassic organic carbon isotope stratigraphy of key sections in the western Tethys realm (Austria). Earth and Planetary Science Letters 281:169–187</w:t>
      </w:r>
    </w:p>
    <w:p w:rsidR="006D67BC" w:rsidRDefault="00EB3263">
      <w:pPr>
        <w:pStyle w:val="Literaturverzeichnis"/>
      </w:pPr>
      <w:r>
        <w:t>Ruhl M, Veld H, Kürschner WM (2010) S</w:t>
      </w:r>
      <w:r>
        <w:t>edimentary organic matter characterization of the Triassic-Jurassic boundary GSSP at Kuhjoch (Austria). Earth and Planetary Science Letters 292:17–26</w:t>
      </w:r>
    </w:p>
    <w:p w:rsidR="006D67BC" w:rsidRDefault="00EB3263">
      <w:pPr>
        <w:pStyle w:val="Literaturverzeichnis"/>
      </w:pPr>
      <w:r>
        <w:t>Saltzman MR (2001) Late Paleozoic ice age; Oceanic gateway or pCO2? Geology 31:151–154</w:t>
      </w:r>
    </w:p>
    <w:p w:rsidR="006D67BC" w:rsidRDefault="00EB3263">
      <w:pPr>
        <w:pStyle w:val="Literaturverzeichnis"/>
      </w:pPr>
      <w:r>
        <w:t>Sander PM, Wintrich</w:t>
      </w:r>
      <w:r>
        <w:t xml:space="preserve"> T, Schwermann, A. H., Kindlimann R (2016) Die paläontologische Grabung in der Rhät-Lias-Tongrube der Fa. Lücking bei Warburg-Bonenburg (Kr. Höxter) im Frühjahr 2015. Geologie und Paläontologie in Westfalen 88:11–37</w:t>
      </w:r>
    </w:p>
    <w:p w:rsidR="006D67BC" w:rsidRDefault="00EB3263">
      <w:pPr>
        <w:pStyle w:val="Literaturverzeichnis"/>
      </w:pPr>
      <w:r>
        <w:t>Schneebeli-Hermann E, Kurschner WM, Hoch</w:t>
      </w:r>
      <w:r>
        <w:t>uli PA, Ware D, Weissert H, Bernasconi SM, Roohi G, Ur-Rehman K, Goudemand N, Bucher H (2013) Evidence for atmospheric carbon injection during the end-Permian extinction. Geology 41:579–582</w:t>
      </w:r>
    </w:p>
    <w:p w:rsidR="006D67BC" w:rsidRDefault="00EB3263">
      <w:pPr>
        <w:pStyle w:val="Literaturverzeichnis"/>
      </w:pPr>
      <w:r>
        <w:t>Schobben MAN (2011) Marine and terrestrial proxy records of enviro</w:t>
      </w:r>
      <w:r>
        <w:t>nmental changes across the Triassic / Jurassic transition : A combined geochemical and palynological approach.:49</w:t>
      </w:r>
    </w:p>
    <w:p w:rsidR="006D67BC" w:rsidRDefault="00EB3263">
      <w:pPr>
        <w:pStyle w:val="Literaturverzeichnis"/>
      </w:pPr>
      <w:r>
        <w:t>Schubert CJ, Calvert SE (2001) Nitrogen and carbon isotopic composition of marine and terrestrial organic matter in Arctic Ocean sediments: 48</w:t>
      </w:r>
      <w:r>
        <w:t>:789–810</w:t>
      </w:r>
    </w:p>
    <w:p w:rsidR="006D67BC" w:rsidRDefault="00EB3263">
      <w:pPr>
        <w:pStyle w:val="Literaturverzeichnis"/>
      </w:pPr>
      <w:r>
        <w:t>Schulz E (1962) Sporenpaläontologische Untersuchungen zur Rhät-Lias-Grenze in Thüringen und der Altmark. Geologie 3:308–319</w:t>
      </w:r>
    </w:p>
    <w:p w:rsidR="006D67BC" w:rsidRDefault="00EB3263">
      <w:pPr>
        <w:pStyle w:val="Literaturverzeichnis"/>
      </w:pPr>
      <w:r>
        <w:t>Schulz E (1967) Sporenpaläontologische Untersuchungen rätoliassischer Schichten im Zentralteil des Germanischen Beckens. Pa</w:t>
      </w:r>
      <w:r>
        <w:t>läontologische Abhandlungen Abteilung B:541–633</w:t>
      </w:r>
    </w:p>
    <w:p w:rsidR="006D67BC" w:rsidRDefault="00EB3263">
      <w:pPr>
        <w:pStyle w:val="Literaturverzeichnis"/>
      </w:pPr>
      <w:r>
        <w:t>Schuurman WML (1976) Aspects of late triassic palynology. 1. On the morphology, taxonomy and stratigraphical/geographical distribution of the form genus Ovalipollis. Review of Palaeobotany and Palynology 21:2</w:t>
      </w:r>
      <w:r>
        <w:t>41–266</w:t>
      </w:r>
    </w:p>
    <w:p w:rsidR="006D67BC" w:rsidRDefault="00EB3263">
      <w:pPr>
        <w:pStyle w:val="Literaturverzeichnis"/>
      </w:pPr>
      <w:r>
        <w:t>Simms M, Ruffell A (1989) Synchroneity of climatic change and extinctions in the Late Triassic. Geology 17:265–268</w:t>
      </w:r>
    </w:p>
    <w:p w:rsidR="006D67BC" w:rsidRDefault="00EB3263">
      <w:pPr>
        <w:pStyle w:val="Literaturverzeichnis"/>
      </w:pPr>
      <w:r>
        <w:t>Storrs GW (1994) Fossil vertebrate faunas of the British Rhaetian. Zoological Journal of the Linnean Society 112:217–259</w:t>
      </w:r>
    </w:p>
    <w:p w:rsidR="006D67BC" w:rsidRDefault="00EB3263">
      <w:pPr>
        <w:pStyle w:val="Literaturverzeichnis"/>
      </w:pPr>
      <w:r>
        <w:t>Tanner LH, Ky</w:t>
      </w:r>
      <w:r>
        <w:t>te FT, Richoz S, Krystyn L (2016) Distribution of iridium and associated geochemistry across the Triassic-Jurassic boundary in sections at Kuhjoch and Kendlbach, Northern Calcareous Alps, Austria. Palaeogeography, Palaeoclimatology, Palaeoecology</w:t>
      </w:r>
    </w:p>
    <w:p w:rsidR="006D67BC" w:rsidRDefault="00EB3263">
      <w:pPr>
        <w:pStyle w:val="Literaturverzeichnis"/>
      </w:pPr>
      <w:r>
        <w:t>Tanner LH</w:t>
      </w:r>
      <w:r>
        <w:t>, Lucas SG, Chapman MG (2004) Assessing the record and causes of Late Triassic extinctions. Earth-Science Reviews 65:103–139</w:t>
      </w:r>
    </w:p>
    <w:p w:rsidR="006D67BC" w:rsidRDefault="00EB3263">
      <w:pPr>
        <w:pStyle w:val="Literaturverzeichnis"/>
      </w:pPr>
      <w:r>
        <w:t>Trueman AE (1922) The Liassic rocks of Glamorgan. Proceedings of the Geologists’ Association 33:245–284</w:t>
      </w:r>
    </w:p>
    <w:p w:rsidR="006D67BC" w:rsidRDefault="00EB3263">
      <w:pPr>
        <w:pStyle w:val="Literaturverzeichnis"/>
      </w:pPr>
      <w:r>
        <w:t>Twichell SC, Meyers Pa, Die</w:t>
      </w:r>
      <w:r>
        <w:t>ster-Haass L (2002) Significance of high C/N ratios in organic-carbon-rich Neogene sediments under the Benguela Current upwelling system. Organic Geochemistry 33:715–722</w:t>
      </w:r>
    </w:p>
    <w:p w:rsidR="006D67BC" w:rsidRDefault="00EB3263">
      <w:pPr>
        <w:pStyle w:val="Literaturverzeichnis"/>
      </w:pPr>
      <w:r>
        <w:t>{</w:t>
      </w:r>
      <w:r>
        <w:t>van de Schootbrugge} B, Bachan A, Suan G, Richoz S, Payne JL (2013) Microbes, mud and methane: Cause and consequence of recurrent early Jurassic anoxia following the end-Triassic mass extinction. Palaeontology 56:685–709</w:t>
      </w:r>
    </w:p>
    <w:p w:rsidR="006D67BC" w:rsidRDefault="00EB3263">
      <w:pPr>
        <w:pStyle w:val="Literaturverzeichnis"/>
      </w:pPr>
      <w:r>
        <w:t xml:space="preserve">{van de Schootbrugge} B, Payne JL, </w:t>
      </w:r>
      <w:r>
        <w:t>Tomasovych A, Pross J, Fiebig J, Benbrahim M, Föllmi KB, Quan TM (2008) Carbon cycle perturbation and stabilization in the wake of the Triassic-Jurassic boundary mass-extinction event. Geochemistry, Geophysics, Geosystems 9:1525–2027</w:t>
      </w:r>
    </w:p>
    <w:p w:rsidR="006D67BC" w:rsidRDefault="00EB3263">
      <w:pPr>
        <w:pStyle w:val="Literaturverzeichnis"/>
      </w:pPr>
      <w:r>
        <w:t xml:space="preserve">{van de Schootbrugge} </w:t>
      </w:r>
      <w:r>
        <w:t>B, Quan TM, Lindström S, Püttmann W, Heunisch C, Pross J, Fiebig J, Petschick R, Röhling H-G, Richoz S, Rosenthal Y, Falkowski PG (2009) Floral changes across the Triassic/Jurassic boundary linked to flood basalt volcanism. Nature Geoscience 2:589–594</w:t>
      </w:r>
    </w:p>
    <w:p w:rsidR="006D67BC" w:rsidRDefault="00EB3263">
      <w:pPr>
        <w:pStyle w:val="Literaturverzeichnis"/>
      </w:pPr>
      <w:r>
        <w:t>{</w:t>
      </w:r>
      <w:r>
        <w:t>van de Schootbrugge} B, Tremolada F, Rosenthal Y, Bailey TR, Feist-Burkhardt S, Brinkhuis H, Pross J, Kent DV, Falkowski PG (2007) End-Triassic calcification crisis and blooms of organic-walled ’disaster species’. Palaeogeography, Palaeoclimatology, Palaeo</w:t>
      </w:r>
      <w:r>
        <w:t>ecology 244:126–141</w:t>
      </w:r>
    </w:p>
    <w:p w:rsidR="006D67BC" w:rsidRDefault="00EB3263">
      <w:pPr>
        <w:pStyle w:val="Literaturverzeichnis"/>
      </w:pPr>
      <w:r>
        <w:t>{von Hillebrandt} A (2000) Die Ammoniten-Fauna des südamerikanischen Hettangium (basaler Jura) Teil III. Palaeontographica Abteilung A:65–116</w:t>
      </w:r>
    </w:p>
    <w:p w:rsidR="006D67BC" w:rsidRDefault="00EB3263">
      <w:pPr>
        <w:pStyle w:val="Literaturverzeichnis"/>
      </w:pPr>
      <w:r>
        <w:t>{von Hillebrandt} A, Krystyn L (2009) On the oldest Jurassic ammonites of Europe (Northern Cal</w:t>
      </w:r>
      <w:r>
        <w:t>careous Alps, Austria) and their global significance. Neues Jahrbuch für Geologie und Paläontologie-Abhandlungen 253:163–195</w:t>
      </w:r>
    </w:p>
    <w:p w:rsidR="006D67BC" w:rsidRDefault="00EB3263">
      <w:pPr>
        <w:pStyle w:val="Literaturverzeichnis"/>
      </w:pPr>
      <w:r>
        <w:t>{von Hillebrandt} A, Krystyn L, Kürschner W, Bonis N, Ruhl M, Richoz S, Schobben MAN, Urlichs M, Bown P, Kment K, McRoberts C, Simm</w:t>
      </w:r>
      <w:r>
        <w:t>s M, Tomãsových A (2013) The Global Stratotype Sections and Point (GSSP) for the base of the Jurassic System at Kuhjoch (Karwendel Mountains, Northern Calcareous Alps, Tyrol, Austri. Episodes</w:t>
      </w:r>
    </w:p>
    <w:p w:rsidR="006D67BC" w:rsidRDefault="00EB3263">
      <w:pPr>
        <w:pStyle w:val="Literaturverzeichnis"/>
      </w:pPr>
      <w:r>
        <w:t>Wang Y, Sadler PM, Shen SZ, Erwin DH, Zhang YC, Wang XD, Wang W,</w:t>
      </w:r>
      <w:r>
        <w:t xml:space="preserve"> Crowley JL, Henderson CM (2014) Quantifying the process and abruptness of the end-Permian mass extinction. Paleobiology 40:113–129</w:t>
      </w:r>
    </w:p>
    <w:p w:rsidR="006D67BC" w:rsidRDefault="00EB3263">
      <w:pPr>
        <w:pStyle w:val="Literaturverzeichnis"/>
      </w:pPr>
      <w:r>
        <w:t>Warrington G (2005) The Charmouth 16A Borehole, Dorset, U.K.: Palynology of the Penarth Group and the Basal Lias Group (Uppe</w:t>
      </w:r>
      <w:r>
        <w:t>r Triassic - Lower Jurassic). Geoscience in south-west England 11:109–116</w:t>
      </w:r>
    </w:p>
    <w:p w:rsidR="006D67BC" w:rsidRDefault="00EB3263">
      <w:pPr>
        <w:pStyle w:val="Literaturverzeichnis"/>
      </w:pPr>
      <w:r>
        <w:t>Warrington G, Cope JCW, Ivimey-Cook HC (1994) St. Audrie’s Bay, Somerset, England: a candidate Global Stratotype Section and Point for the Base of the Jurassic. Geological Magazine 1</w:t>
      </w:r>
      <w:r>
        <w:t>31:191–200</w:t>
      </w:r>
    </w:p>
    <w:p w:rsidR="006D67BC" w:rsidRDefault="00EB3263">
      <w:pPr>
        <w:pStyle w:val="Literaturverzeichnis"/>
      </w:pPr>
      <w:r>
        <w:t>Wähner F (1886) Beiträge zur Kenntniss der tieferen Zonen des unteren Lias in den nordöstlichen Alpen. Beiträge zur Paläontologie österreich-Ungarns und des Orients:135–226</w:t>
      </w:r>
    </w:p>
    <w:p w:rsidR="006D67BC" w:rsidRDefault="00EB3263">
      <w:pPr>
        <w:pStyle w:val="Literaturverzeichnis"/>
      </w:pPr>
      <w:r>
        <w:t>Wetzel R (1929) Grenzprobleme zwischen Geologie und Palaontologie. Verha</w:t>
      </w:r>
      <w:r>
        <w:t>ndlungen der physikalisch-medizinischen Gesellschaft zu W</w:t>
      </w:r>
      <w:r>
        <w:t>�</w:t>
      </w:r>
      <w:r>
        <w:t>rzburg, neue Folge 54:178–187</w:t>
      </w:r>
    </w:p>
    <w:p w:rsidR="006D67BC" w:rsidRDefault="00EB3263">
      <w:pPr>
        <w:pStyle w:val="Literaturverzeichnis"/>
      </w:pPr>
      <w:r>
        <w:t>Wetzel R (1932) Leitfossil gegen Leithorizont und die mittelwürttembergische Psilonotenbank. Neues Jahrbuch für Mineralogie, Geologie und Pal</w:t>
      </w:r>
      <w:r>
        <w:t>�</w:t>
      </w:r>
      <w:r>
        <w:t>ontologie 67:455–467</w:t>
      </w:r>
    </w:p>
    <w:p w:rsidR="006D67BC" w:rsidRDefault="00EB3263">
      <w:pPr>
        <w:pStyle w:val="Literaturverzeichnis"/>
      </w:pPr>
      <w:r>
        <w:t>White</w:t>
      </w:r>
      <w:r>
        <w:t>side JH, Olsen PE, Eglinton T, Brookfield ME, Sambrotto RN (2010) Compound-specific carbon isotopes from Earth’s largest flood basalt eruptions directly linked to the end-Triassic mass extinction. Proceedings of the National Academy of Sciences 107:6721–67</w:t>
      </w:r>
      <w:r>
        <w:t>25</w:t>
      </w:r>
    </w:p>
    <w:p w:rsidR="006D67BC" w:rsidRDefault="00EB3263">
      <w:pPr>
        <w:pStyle w:val="Literaturverzeichnis"/>
      </w:pPr>
      <w:r>
        <w:t>Whiteside JH, Olsen PE, Kent DV, Fowell SJ, Et-Touhami M (2007) Synchrony between the Central Atlantic magmatic province and the Triassic-Jurassic mass-extinction event? Palaeogeography, Palaeoclimatology, Palaeoecology 244:345–367</w:t>
      </w:r>
    </w:p>
    <w:p w:rsidR="006D67BC" w:rsidRDefault="00EB3263">
      <w:pPr>
        <w:pStyle w:val="Literaturverzeichnis"/>
      </w:pPr>
      <w:r>
        <w:t>Wickham H (2009) Ggpl</w:t>
      </w:r>
      <w:r>
        <w:t>ot2: Elegant graphics for data analysis. Springer-Verlag New York</w:t>
      </w:r>
    </w:p>
    <w:p w:rsidR="006D67BC" w:rsidRDefault="00EB3263">
      <w:pPr>
        <w:pStyle w:val="Literaturverzeichnis"/>
      </w:pPr>
      <w:r>
        <w:t>Wintrich T, Hayashi S, Houssaye A, Nakajima Y, Sander PM (2017) A Triassic plesiosaurian skeleton and bone histology inform on evolution of a unique body plan. Science Advances 3:e1701144</w:t>
      </w:r>
    </w:p>
    <w:p w:rsidR="006D67BC" w:rsidRDefault="00EB3263">
      <w:pPr>
        <w:pStyle w:val="Literaturverzeichnis"/>
      </w:pPr>
      <w:r>
        <w:t>Wo</w:t>
      </w:r>
      <w:r>
        <w:t>tzlaw J-F, Guex J, Bartolini A, Gallet Y, Krystyn L, McRoberts CA, Taylor D, Schoene B, Schaltegger U (2014) Towards accurate numerical calibration of the Late Triassic: High-precision U-Pb geochronology constraints on the duration of the Rhaetian. Geology</w:t>
      </w:r>
      <w:r>
        <w:t xml:space="preserve"> 42:571–574</w:t>
      </w:r>
    </w:p>
    <w:p w:rsidR="006D67BC" w:rsidRDefault="00EB3263">
      <w:pPr>
        <w:pStyle w:val="Literaturverzeichnis"/>
      </w:pPr>
      <w:r>
        <w:t>Xie Y (2014) Knitr: A comprehensive tool for reproducible research in R. In: Stodden V, Leisch F, Peng RD (eds) Implementing reproducible computational research. Chapman; Hall/CRC</w:t>
      </w:r>
    </w:p>
    <w:p w:rsidR="006D67BC" w:rsidRDefault="00EB3263">
      <w:pPr>
        <w:pStyle w:val="Literaturverzeichnis"/>
      </w:pPr>
      <w:r>
        <w:t>Xie Y (2015) Dynamic documents with R and knitr, 2nd edn. Chapma</w:t>
      </w:r>
      <w:r>
        <w:t>n; Hall/CRC, Boca Raton, Florida</w:t>
      </w:r>
    </w:p>
    <w:p w:rsidR="006D67BC" w:rsidRDefault="00EB3263">
      <w:pPr>
        <w:pStyle w:val="Literaturverzeichnis"/>
      </w:pPr>
      <w:r>
        <w:t>Xie Y (2018) Knitr: A general-purpose package for dynamic report generation in r.</w:t>
      </w:r>
    </w:p>
    <w:p w:rsidR="006D67BC" w:rsidRDefault="00EB3263">
      <w:pPr>
        <w:pStyle w:val="Literaturverzeichnis"/>
      </w:pPr>
      <w:r>
        <w:t>Yager JA, West AJ, Corsetti FA, Berelson WM, Rollins NE, Rosas S, Bottjer DJ (2017) Duration of and decoupling between carbon isotope excursi</w:t>
      </w:r>
      <w:r>
        <w:t>ons during the end-Triassic mass extinction and Central Atlantic Magmatic Province emplacement. Earth and Planetary Science Letters 1:1–10</w:t>
      </w:r>
    </w:p>
    <w:p w:rsidR="006D67BC" w:rsidRDefault="00EB3263">
      <w:pPr>
        <w:pStyle w:val="Literaturverzeichnis"/>
      </w:pPr>
      <w:r>
        <w:t xml:space="preserve">Zajzon N, Kristály F, Pálfy J, Németh T (2012) Detailed clay mineralogy of the Triassic-Jurassic boundary section at </w:t>
      </w:r>
      <w:r>
        <w:t>Kendlbachgraben (Northern Calcareous Alps, Austria). Clay Minerals 47:177–189</w:t>
      </w:r>
    </w:p>
    <w:sectPr w:rsidR="006D67BC" w:rsidSect="00B92DA1">
      <w:footerReference w:type="default" r:id="rId15"/>
      <w:pgSz w:w="12240" w:h="15840"/>
      <w:pgMar w:top="1440" w:right="1440" w:bottom="1440" w:left="1440" w:header="720" w:footer="720" w:gutter="0"/>
      <w:lnNumType w:countBy="1" w:restart="continuous"/>
      <w:pgNumType w:start="0"/>
      <w:cols w:space="720"/>
      <w:titlePg/>
      <w:docGrid w:linePitch="19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B3263" w:rsidRDefault="00EB3263">
      <w:pPr>
        <w:spacing w:after="0" w:line="240" w:lineRule="auto"/>
      </w:pPr>
      <w:r>
        <w:separator/>
      </w:r>
    </w:p>
  </w:endnote>
  <w:endnote w:type="continuationSeparator" w:id="0">
    <w:p w:rsidR="00EB3263" w:rsidRDefault="00EB326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altName w:val="Times"/>
    <w:panose1 w:val="02020603050405020304"/>
    <w:charset w:val="00"/>
    <w:family w:val="roman"/>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10002FF" w:usb1="4000ACFF" w:usb2="00000009" w:usb3="00000000" w:csb0="0000019F" w:csb1="00000000"/>
  </w:font>
  <w:font w:name="Consolas">
    <w:panose1 w:val="020B0609020204030204"/>
    <w:charset w:val="00"/>
    <w:family w:val="modern"/>
    <w:pitch w:val="fixed"/>
    <w:sig w:usb0="E10002FF" w:usb1="4000FCFF" w:usb2="00000009" w:usb3="00000000" w:csb0="0000019F" w:csb1="00000000"/>
  </w:font>
  <w:font w:name="Tahoma">
    <w:panose1 w:val="020B0604030504040204"/>
    <w:charset w:val="00"/>
    <w:family w:val="swiss"/>
    <w:pitch w:val="variable"/>
    <w:sig w:usb0="800022EF" w:usb1="C000205A" w:usb2="00000008" w:usb3="00000000" w:csb0="00000057" w:csb1="00000000"/>
  </w:font>
  <w:font w:name="Times">
    <w:panose1 w:val="00000000000000000000"/>
    <w:charset w:val="00"/>
    <w:family w:val="auto"/>
    <w:notTrueType/>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07961311"/>
      <w:docPartObj>
        <w:docPartGallery w:val="Page Numbers (Bottom of Page)"/>
        <w:docPartUnique/>
      </w:docPartObj>
    </w:sdtPr>
    <w:sdtEndPr/>
    <w:sdtContent>
      <w:p w:rsidR="00B92DA1" w:rsidRDefault="00EB3263">
        <w:pPr>
          <w:pStyle w:val="Fuzeile"/>
          <w:jc w:val="center"/>
        </w:pPr>
        <w:r>
          <w:fldChar w:fldCharType="begin"/>
        </w:r>
        <w:r>
          <w:instrText>PAGE   \* MERGEFORMAT</w:instrText>
        </w:r>
        <w:r>
          <w:fldChar w:fldCharType="separate"/>
        </w:r>
        <w:r w:rsidR="00C5453E" w:rsidRPr="00C5453E">
          <w:rPr>
            <w:noProof/>
            <w:lang w:val="de-DE"/>
          </w:rPr>
          <w:t>1</w:t>
        </w:r>
        <w:r>
          <w:fldChar w:fldCharType="end"/>
        </w:r>
      </w:p>
    </w:sdtContent>
  </w:sdt>
  <w:p w:rsidR="00B92DA1" w:rsidRDefault="00EB3263">
    <w:pPr>
      <w:pStyle w:val="Fuzeil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B3263" w:rsidRDefault="00EB3263">
      <w:r>
        <w:separator/>
      </w:r>
    </w:p>
  </w:footnote>
  <w:footnote w:type="continuationSeparator" w:id="0">
    <w:p w:rsidR="00EB3263" w:rsidRDefault="00EB3263">
      <w:r>
        <w:continuationSeparator/>
      </w:r>
    </w:p>
  </w:footnote>
  <w:footnote w:id="1">
    <w:p w:rsidR="006D67BC" w:rsidRDefault="00EB3263">
      <w:pPr>
        <w:pStyle w:val="Funotentext"/>
      </w:pPr>
      <w:r>
        <w:rPr>
          <w:rStyle w:val="Funotenzeichen"/>
        </w:rPr>
        <w:footnoteRef/>
      </w:r>
      <w:r>
        <w:t xml:space="preserve"> Museum für Naturkunde Berlin, Leibniz-Institut für Evolutions- und </w:t>
      </w:r>
      <w:r>
        <w:t>Biodiversitätsforschung, Invalidenstr. 43, 10115 Berlin, Germany</w:t>
      </w:r>
    </w:p>
  </w:footnote>
  <w:footnote w:id="2">
    <w:p w:rsidR="006D67BC" w:rsidRDefault="00EB3263">
      <w:pPr>
        <w:pStyle w:val="Funotentext"/>
      </w:pPr>
      <w:r>
        <w:rPr>
          <w:rStyle w:val="Funotenzeichen"/>
        </w:rPr>
        <w:footnoteRef/>
      </w:r>
      <w:r>
        <w:t xml:space="preserve"> Utrecht University, Marine Palynology and Paleoceanography, Princetonlaan 8A, 3584 CB Utrecht, The Netherlands</w:t>
      </w:r>
    </w:p>
  </w:footnote>
  <w:footnote w:id="3">
    <w:p w:rsidR="006D67BC" w:rsidRDefault="00EB3263">
      <w:pPr>
        <w:pStyle w:val="Funotentext"/>
      </w:pPr>
      <w:r>
        <w:rPr>
          <w:rStyle w:val="Funotenzeichen"/>
        </w:rPr>
        <w:footnoteRef/>
      </w:r>
      <w:r>
        <w:t xml:space="preserve"> Freie Universität Berlin, Institut für Biologie, Altensteinstr. 6, 14195 Ber</w:t>
      </w:r>
      <w:r>
        <w:t>lin, Germany</w:t>
      </w:r>
    </w:p>
  </w:footnote>
  <w:footnote w:id="4">
    <w:p w:rsidR="006D67BC" w:rsidRDefault="00EB3263">
      <w:pPr>
        <w:pStyle w:val="Funotentext"/>
      </w:pPr>
      <w:r>
        <w:rPr>
          <w:rStyle w:val="Funotenzeichen"/>
        </w:rPr>
        <w:footnoteRef/>
      </w:r>
      <w:r>
        <w:t xml:space="preserve"> Freie Universität Berlin, Institut für Geologische Wissenschaften, Malteserstr. 74–100, 12249 Berlin, Germany</w:t>
      </w:r>
    </w:p>
  </w:footnote>
  <w:footnote w:id="5">
    <w:p w:rsidR="006D67BC" w:rsidRDefault="00EB3263">
      <w:pPr>
        <w:pStyle w:val="Funotentext"/>
      </w:pPr>
      <w:r>
        <w:rPr>
          <w:rStyle w:val="Funotenzeichen"/>
        </w:rPr>
        <w:footnoteRef/>
      </w:r>
      <w:r>
        <w:t xml:space="preserve"> Technische Universität Berlin, Institut für Angewandte Geowissenschaften, Ackerstr. 76, 13355 Berlin, Germany</w:t>
      </w:r>
    </w:p>
  </w:footnote>
  <w:footnote w:id="6">
    <w:p w:rsidR="006D67BC" w:rsidRDefault="00EB3263">
      <w:pPr>
        <w:pStyle w:val="Funotentext"/>
      </w:pPr>
      <w:r>
        <w:rPr>
          <w:rStyle w:val="Funotenzeichen"/>
        </w:rPr>
        <w:footnoteRef/>
      </w:r>
      <w:r>
        <w:t xml:space="preserve"> University of Osl</w:t>
      </w:r>
      <w:r>
        <w:t>o, Departments of Geosciences, P.O box 1047 Blindern 0316 Oslo, Norway</w:t>
      </w:r>
    </w:p>
  </w:footnote>
  <w:footnote w:id="7">
    <w:p w:rsidR="006D67BC" w:rsidRDefault="00EB3263">
      <w:pPr>
        <w:pStyle w:val="Funotentext"/>
      </w:pPr>
      <w:r>
        <w:rPr>
          <w:rStyle w:val="Funotenzeichen"/>
        </w:rPr>
        <w:footnoteRef/>
      </w:r>
      <w:r>
        <w:t xml:space="preserve"> University of Bonn, Steinmann Institute, Division of Paleontology, Nussallee 8, 53115 Bonn, Germany</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1FE94F6"/>
    <w:multiLevelType w:val="multilevel"/>
    <w:tmpl w:val="9942235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nsid w:val="9F62141A"/>
    <w:multiLevelType w:val="multilevel"/>
    <w:tmpl w:val="CFEC3160"/>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nsid w:val="A402D0CE"/>
    <w:multiLevelType w:val="multilevel"/>
    <w:tmpl w:val="38D49C8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3">
    <w:nsid w:val="B114157E"/>
    <w:multiLevelType w:val="multilevel"/>
    <w:tmpl w:val="D3F05A62"/>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4">
    <w:nsid w:val="B4EEDE08"/>
    <w:multiLevelType w:val="multilevel"/>
    <w:tmpl w:val="E172823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5">
    <w:nsid w:val="C2EB4766"/>
    <w:multiLevelType w:val="multilevel"/>
    <w:tmpl w:val="49DE2B8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6">
    <w:nsid w:val="D5C00392"/>
    <w:multiLevelType w:val="multilevel"/>
    <w:tmpl w:val="B67EA04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7">
    <w:nsid w:val="DE5F99DD"/>
    <w:multiLevelType w:val="multilevel"/>
    <w:tmpl w:val="F9A83722"/>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8">
    <w:nsid w:val="E17F69BA"/>
    <w:multiLevelType w:val="multilevel"/>
    <w:tmpl w:val="1FCAE190"/>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9">
    <w:nsid w:val="FFFFFF7C"/>
    <w:multiLevelType w:val="singleLevel"/>
    <w:tmpl w:val="67AA5558"/>
    <w:lvl w:ilvl="0">
      <w:start w:val="1"/>
      <w:numFmt w:val="decimal"/>
      <w:lvlText w:val="%1."/>
      <w:lvlJc w:val="left"/>
      <w:pPr>
        <w:tabs>
          <w:tab w:val="num" w:pos="1800"/>
        </w:tabs>
        <w:ind w:left="1800" w:hanging="360"/>
      </w:pPr>
    </w:lvl>
  </w:abstractNum>
  <w:abstractNum w:abstractNumId="10">
    <w:nsid w:val="FFFFFF7D"/>
    <w:multiLevelType w:val="singleLevel"/>
    <w:tmpl w:val="DEE201FE"/>
    <w:lvl w:ilvl="0">
      <w:start w:val="1"/>
      <w:numFmt w:val="decimal"/>
      <w:lvlText w:val="%1."/>
      <w:lvlJc w:val="left"/>
      <w:pPr>
        <w:tabs>
          <w:tab w:val="num" w:pos="1440"/>
        </w:tabs>
        <w:ind w:left="1440" w:hanging="360"/>
      </w:pPr>
    </w:lvl>
  </w:abstractNum>
  <w:abstractNum w:abstractNumId="11">
    <w:nsid w:val="FFFFFF7E"/>
    <w:multiLevelType w:val="singleLevel"/>
    <w:tmpl w:val="1938DF70"/>
    <w:lvl w:ilvl="0">
      <w:start w:val="1"/>
      <w:numFmt w:val="decimal"/>
      <w:lvlText w:val="%1."/>
      <w:lvlJc w:val="left"/>
      <w:pPr>
        <w:tabs>
          <w:tab w:val="num" w:pos="1080"/>
        </w:tabs>
        <w:ind w:left="1080" w:hanging="360"/>
      </w:pPr>
    </w:lvl>
  </w:abstractNum>
  <w:abstractNum w:abstractNumId="12">
    <w:nsid w:val="FFFFFF7F"/>
    <w:multiLevelType w:val="singleLevel"/>
    <w:tmpl w:val="568C8F00"/>
    <w:lvl w:ilvl="0">
      <w:start w:val="1"/>
      <w:numFmt w:val="decimal"/>
      <w:lvlText w:val="%1."/>
      <w:lvlJc w:val="left"/>
      <w:pPr>
        <w:tabs>
          <w:tab w:val="num" w:pos="720"/>
        </w:tabs>
        <w:ind w:left="720" w:hanging="360"/>
      </w:pPr>
    </w:lvl>
  </w:abstractNum>
  <w:abstractNum w:abstractNumId="13">
    <w:nsid w:val="FFFFFF80"/>
    <w:multiLevelType w:val="singleLevel"/>
    <w:tmpl w:val="C436F356"/>
    <w:lvl w:ilvl="0">
      <w:start w:val="1"/>
      <w:numFmt w:val="bullet"/>
      <w:lvlText w:val=""/>
      <w:lvlJc w:val="left"/>
      <w:pPr>
        <w:tabs>
          <w:tab w:val="num" w:pos="1800"/>
        </w:tabs>
        <w:ind w:left="1800" w:hanging="360"/>
      </w:pPr>
      <w:rPr>
        <w:rFonts w:ascii="Symbol" w:hAnsi="Symbol" w:hint="default"/>
      </w:rPr>
    </w:lvl>
  </w:abstractNum>
  <w:abstractNum w:abstractNumId="14">
    <w:nsid w:val="FFFFFF81"/>
    <w:multiLevelType w:val="singleLevel"/>
    <w:tmpl w:val="40124306"/>
    <w:lvl w:ilvl="0">
      <w:start w:val="1"/>
      <w:numFmt w:val="bullet"/>
      <w:lvlText w:val=""/>
      <w:lvlJc w:val="left"/>
      <w:pPr>
        <w:tabs>
          <w:tab w:val="num" w:pos="1440"/>
        </w:tabs>
        <w:ind w:left="1440" w:hanging="360"/>
      </w:pPr>
      <w:rPr>
        <w:rFonts w:ascii="Symbol" w:hAnsi="Symbol" w:hint="default"/>
      </w:rPr>
    </w:lvl>
  </w:abstractNum>
  <w:abstractNum w:abstractNumId="15">
    <w:nsid w:val="FFFFFF82"/>
    <w:multiLevelType w:val="singleLevel"/>
    <w:tmpl w:val="E4D8CD44"/>
    <w:lvl w:ilvl="0">
      <w:start w:val="1"/>
      <w:numFmt w:val="bullet"/>
      <w:lvlText w:val=""/>
      <w:lvlJc w:val="left"/>
      <w:pPr>
        <w:tabs>
          <w:tab w:val="num" w:pos="1080"/>
        </w:tabs>
        <w:ind w:left="1080" w:hanging="360"/>
      </w:pPr>
      <w:rPr>
        <w:rFonts w:ascii="Symbol" w:hAnsi="Symbol" w:hint="default"/>
      </w:rPr>
    </w:lvl>
  </w:abstractNum>
  <w:abstractNum w:abstractNumId="16">
    <w:nsid w:val="FFFFFF83"/>
    <w:multiLevelType w:val="singleLevel"/>
    <w:tmpl w:val="C612587C"/>
    <w:lvl w:ilvl="0">
      <w:start w:val="1"/>
      <w:numFmt w:val="bullet"/>
      <w:lvlText w:val=""/>
      <w:lvlJc w:val="left"/>
      <w:pPr>
        <w:tabs>
          <w:tab w:val="num" w:pos="720"/>
        </w:tabs>
        <w:ind w:left="720" w:hanging="360"/>
      </w:pPr>
      <w:rPr>
        <w:rFonts w:ascii="Symbol" w:hAnsi="Symbol" w:hint="default"/>
      </w:rPr>
    </w:lvl>
  </w:abstractNum>
  <w:abstractNum w:abstractNumId="17">
    <w:nsid w:val="FFFFFF88"/>
    <w:multiLevelType w:val="singleLevel"/>
    <w:tmpl w:val="70C6F1D2"/>
    <w:lvl w:ilvl="0">
      <w:start w:val="1"/>
      <w:numFmt w:val="decimal"/>
      <w:lvlText w:val="%1."/>
      <w:lvlJc w:val="left"/>
      <w:pPr>
        <w:tabs>
          <w:tab w:val="num" w:pos="360"/>
        </w:tabs>
        <w:ind w:left="360" w:hanging="360"/>
      </w:pPr>
    </w:lvl>
  </w:abstractNum>
  <w:abstractNum w:abstractNumId="18">
    <w:nsid w:val="FFFFFF89"/>
    <w:multiLevelType w:val="singleLevel"/>
    <w:tmpl w:val="E5C2DE46"/>
    <w:lvl w:ilvl="0">
      <w:start w:val="1"/>
      <w:numFmt w:val="bullet"/>
      <w:lvlText w:val=""/>
      <w:lvlJc w:val="left"/>
      <w:pPr>
        <w:tabs>
          <w:tab w:val="num" w:pos="360"/>
        </w:tabs>
        <w:ind w:left="360" w:hanging="360"/>
      </w:pPr>
      <w:rPr>
        <w:rFonts w:ascii="Symbol" w:hAnsi="Symbol" w:hint="default"/>
      </w:rPr>
    </w:lvl>
  </w:abstractNum>
  <w:abstractNum w:abstractNumId="19">
    <w:nsid w:val="12627ED2"/>
    <w:multiLevelType w:val="multilevel"/>
    <w:tmpl w:val="B2329B92"/>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0">
    <w:nsid w:val="127CE61A"/>
    <w:multiLevelType w:val="multilevel"/>
    <w:tmpl w:val="FEACC5D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1">
    <w:nsid w:val="1C1FC752"/>
    <w:multiLevelType w:val="multilevel"/>
    <w:tmpl w:val="EE249642"/>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2">
    <w:nsid w:val="3E2D1460"/>
    <w:multiLevelType w:val="multilevel"/>
    <w:tmpl w:val="DCE610D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3">
    <w:nsid w:val="4FF101C4"/>
    <w:multiLevelType w:val="multilevel"/>
    <w:tmpl w:val="2856F55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4">
    <w:nsid w:val="529278F2"/>
    <w:multiLevelType w:val="multilevel"/>
    <w:tmpl w:val="0C568996"/>
    <w:lvl w:ilvl="0">
      <w:start w:val="1"/>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rPr>
        <w:rFonts w:hint="default"/>
      </w:rPr>
    </w:lvl>
    <w:lvl w:ilvl="2">
      <w:start w:val="1"/>
      <w:numFmt w:val="decimal"/>
      <w:pStyle w:val="berschrift3"/>
      <w:lvlText w:val="%1.%2.%3"/>
      <w:lvlJc w:val="left"/>
      <w:pPr>
        <w:ind w:left="720" w:hanging="720"/>
      </w:pPr>
      <w:rPr>
        <w:rFonts w:hint="default"/>
      </w:rPr>
    </w:lvl>
    <w:lvl w:ilvl="3">
      <w:start w:val="1"/>
      <w:numFmt w:val="decimal"/>
      <w:pStyle w:val="berschrift4"/>
      <w:lvlText w:val="%1.%2.%3.%4"/>
      <w:lvlJc w:val="left"/>
      <w:pPr>
        <w:ind w:left="864" w:hanging="864"/>
      </w:pPr>
      <w:rPr>
        <w:rFonts w:hint="default"/>
      </w:rPr>
    </w:lvl>
    <w:lvl w:ilvl="4">
      <w:start w:val="1"/>
      <w:numFmt w:val="decimal"/>
      <w:pStyle w:val="berschrift5"/>
      <w:lvlText w:val="%1.%2.%3.%4.%5"/>
      <w:lvlJc w:val="left"/>
      <w:pPr>
        <w:ind w:left="1008" w:hanging="1008"/>
      </w:pPr>
      <w:rPr>
        <w:rFonts w:hint="default"/>
      </w:rPr>
    </w:lvl>
    <w:lvl w:ilvl="5">
      <w:start w:val="1"/>
      <w:numFmt w:val="decimal"/>
      <w:pStyle w:val="berschrift6"/>
      <w:lvlText w:val="%1.%2.%3.%4.%5.%6"/>
      <w:lvlJc w:val="left"/>
      <w:pPr>
        <w:ind w:left="1152" w:hanging="1152"/>
      </w:pPr>
      <w:rPr>
        <w:rFonts w:hint="default"/>
      </w:rPr>
    </w:lvl>
    <w:lvl w:ilvl="6">
      <w:start w:val="1"/>
      <w:numFmt w:val="decimal"/>
      <w:pStyle w:val="berschrift7"/>
      <w:lvlText w:val="%1.%2.%3.%4.%5.%6.%7"/>
      <w:lvlJc w:val="left"/>
      <w:pPr>
        <w:ind w:left="1296" w:hanging="1296"/>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25">
    <w:nsid w:val="5FC2264F"/>
    <w:multiLevelType w:val="multilevel"/>
    <w:tmpl w:val="0220E7C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6">
    <w:nsid w:val="6EAF8B0B"/>
    <w:multiLevelType w:val="multilevel"/>
    <w:tmpl w:val="4216D98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7">
    <w:nsid w:val="7C116D19"/>
    <w:multiLevelType w:val="multilevel"/>
    <w:tmpl w:val="1FB014A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8">
    <w:nsid w:val="7E68C52F"/>
    <w:multiLevelType w:val="multilevel"/>
    <w:tmpl w:val="E8768B3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9">
    <w:nsid w:val="7E70245E"/>
    <w:multiLevelType w:val="multilevel"/>
    <w:tmpl w:val="A3683532"/>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num w:numId="1">
    <w:abstractNumId w:val="8"/>
  </w:num>
  <w:num w:numId="2">
    <w:abstractNumId w:val="20"/>
  </w:num>
  <w:num w:numId="3">
    <w:abstractNumId w:val="18"/>
  </w:num>
  <w:num w:numId="4">
    <w:abstractNumId w:val="16"/>
  </w:num>
  <w:num w:numId="5">
    <w:abstractNumId w:val="15"/>
  </w:num>
  <w:num w:numId="6">
    <w:abstractNumId w:val="14"/>
  </w:num>
  <w:num w:numId="7">
    <w:abstractNumId w:val="13"/>
  </w:num>
  <w:num w:numId="8">
    <w:abstractNumId w:val="17"/>
  </w:num>
  <w:num w:numId="9">
    <w:abstractNumId w:val="12"/>
  </w:num>
  <w:num w:numId="10">
    <w:abstractNumId w:val="11"/>
  </w:num>
  <w:num w:numId="11">
    <w:abstractNumId w:val="10"/>
  </w:num>
  <w:num w:numId="12">
    <w:abstractNumId w:val="9"/>
  </w:num>
  <w:num w:numId="13">
    <w:abstractNumId w:val="7"/>
  </w:num>
  <w:num w:numId="14">
    <w:abstractNumId w:val="2"/>
  </w:num>
  <w:num w:numId="15">
    <w:abstractNumId w:val="6"/>
  </w:num>
  <w:num w:numId="16">
    <w:abstractNumId w:val="21"/>
  </w:num>
  <w:num w:numId="17">
    <w:abstractNumId w:val="1"/>
  </w:num>
  <w:num w:numId="18">
    <w:abstractNumId w:val="26"/>
  </w:num>
  <w:num w:numId="19">
    <w:abstractNumId w:val="25"/>
  </w:num>
  <w:num w:numId="20">
    <w:abstractNumId w:val="3"/>
  </w:num>
  <w:num w:numId="21">
    <w:abstractNumId w:val="0"/>
  </w:num>
  <w:num w:numId="22">
    <w:abstractNumId w:val="23"/>
  </w:num>
  <w:num w:numId="23">
    <w:abstractNumId w:val="28"/>
  </w:num>
  <w:num w:numId="24">
    <w:abstractNumId w:val="5"/>
  </w:num>
  <w:num w:numId="25">
    <w:abstractNumId w:val="24"/>
  </w:num>
  <w:num w:numId="26">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22"/>
  </w:num>
  <w:num w:numId="28">
    <w:abstractNumId w:val="4"/>
  </w:num>
  <w:num w:numId="29">
    <w:abstractNumId w:val="19"/>
  </w:num>
  <w:num w:numId="30">
    <w:abstractNumId w:val="29"/>
  </w:num>
  <w:num w:numId="31">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savePreviewPicture/>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90D07"/>
    <w:rsid w:val="00011C8B"/>
    <w:rsid w:val="004E29B3"/>
    <w:rsid w:val="00590D07"/>
    <w:rsid w:val="006D67BC"/>
    <w:rsid w:val="00784D58"/>
    <w:rsid w:val="008D6863"/>
    <w:rsid w:val="00B86B75"/>
    <w:rsid w:val="00BC48D5"/>
    <w:rsid w:val="00C36279"/>
    <w:rsid w:val="00C5453E"/>
    <w:rsid w:val="00E315A3"/>
    <w:rsid w:val="00EB3263"/>
  </w:rsids>
  <m:mathPr>
    <m:mathFont m:val="Cambria Math"/>
    <m:brkBin m:val="before"/>
    <m:brkBinSub m:val="--"/>
    <m:smallFrac m:val="0"/>
    <m:dispDef m:val="0"/>
    <m:lMargin m:val="0"/>
    <m:rMargin m:val="0"/>
    <m:defJc m:val="centerGroup"/>
    <m:wrapRight/>
    <m:intLim m:val="subSup"/>
    <m:naryLim m:val="subSup"/>
  </m:mathPr>
  <w:themeFontLang w:val="en-US"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n-US" w:eastAsia="en-US" w:bidi="ar-SA"/>
      </w:rPr>
    </w:rPrDefault>
    <w:pPrDefault>
      <w:pPr>
        <w:spacing w:after="160" w:line="480" w:lineRule="auto"/>
      </w:pPr>
    </w:pPrDefault>
  </w:docDefaults>
  <w:latentStyles w:defLockedState="0" w:defUIPriority="0" w:defSemiHidden="0" w:defUnhideWhenUsed="0" w:defQFormat="0" w:count="267"/>
  <w:style w:type="paragraph" w:default="1" w:styleId="Standard">
    <w:name w:val="Normal"/>
    <w:qFormat/>
  </w:style>
  <w:style w:type="paragraph" w:styleId="berschrift1">
    <w:name w:val="heading 1"/>
    <w:basedOn w:val="Standard"/>
    <w:next w:val="Textkrper"/>
    <w:uiPriority w:val="9"/>
    <w:qFormat/>
    <w:rsid w:val="00B27804"/>
    <w:pPr>
      <w:keepNext/>
      <w:keepLines/>
      <w:numPr>
        <w:numId w:val="25"/>
      </w:numPr>
      <w:spacing w:before="480" w:after="0"/>
      <w:outlineLvl w:val="0"/>
    </w:pPr>
    <w:rPr>
      <w:rFonts w:ascii="Times New Roman" w:eastAsiaTheme="majorEastAsia" w:hAnsi="Times New Roman" w:cstheme="majorBidi"/>
      <w:b/>
      <w:bCs/>
      <w:sz w:val="32"/>
      <w:szCs w:val="32"/>
    </w:rPr>
  </w:style>
  <w:style w:type="paragraph" w:styleId="berschrift2">
    <w:name w:val="heading 2"/>
    <w:basedOn w:val="Standard"/>
    <w:next w:val="Textkrper"/>
    <w:uiPriority w:val="9"/>
    <w:unhideWhenUsed/>
    <w:qFormat/>
    <w:rsid w:val="00B27804"/>
    <w:pPr>
      <w:keepNext/>
      <w:keepLines/>
      <w:numPr>
        <w:ilvl w:val="1"/>
        <w:numId w:val="25"/>
      </w:numPr>
      <w:spacing w:before="200" w:after="0"/>
      <w:outlineLvl w:val="1"/>
    </w:pPr>
    <w:rPr>
      <w:rFonts w:ascii="Times New Roman" w:eastAsiaTheme="majorEastAsia" w:hAnsi="Times New Roman" w:cstheme="majorBidi"/>
      <w:b/>
      <w:bCs/>
      <w:sz w:val="28"/>
      <w:szCs w:val="32"/>
    </w:rPr>
  </w:style>
  <w:style w:type="paragraph" w:styleId="berschrift3">
    <w:name w:val="heading 3"/>
    <w:basedOn w:val="Standard"/>
    <w:next w:val="Textkrper"/>
    <w:uiPriority w:val="9"/>
    <w:unhideWhenUsed/>
    <w:qFormat/>
    <w:rsid w:val="002A4A68"/>
    <w:pPr>
      <w:keepNext/>
      <w:keepLines/>
      <w:numPr>
        <w:ilvl w:val="2"/>
        <w:numId w:val="25"/>
      </w:numPr>
      <w:spacing w:before="200" w:after="0"/>
      <w:outlineLvl w:val="2"/>
    </w:pPr>
    <w:rPr>
      <w:rFonts w:ascii="Times New Roman" w:eastAsiaTheme="majorEastAsia" w:hAnsi="Times New Roman" w:cstheme="majorBidi"/>
      <w:b/>
      <w:bCs/>
      <w:sz w:val="28"/>
      <w:szCs w:val="28"/>
    </w:rPr>
  </w:style>
  <w:style w:type="paragraph" w:styleId="berschrift4">
    <w:name w:val="heading 4"/>
    <w:basedOn w:val="Standard"/>
    <w:next w:val="Textkrper"/>
    <w:uiPriority w:val="9"/>
    <w:unhideWhenUsed/>
    <w:qFormat/>
    <w:pPr>
      <w:keepNext/>
      <w:keepLines/>
      <w:numPr>
        <w:ilvl w:val="3"/>
        <w:numId w:val="25"/>
      </w:numPr>
      <w:spacing w:before="200" w:after="0"/>
      <w:outlineLvl w:val="3"/>
    </w:pPr>
    <w:rPr>
      <w:rFonts w:asciiTheme="majorHAnsi" w:eastAsiaTheme="majorEastAsia" w:hAnsiTheme="majorHAnsi" w:cstheme="majorBidi"/>
      <w:b/>
      <w:bCs/>
      <w:color w:val="4F81BD" w:themeColor="accent1"/>
    </w:rPr>
  </w:style>
  <w:style w:type="paragraph" w:styleId="berschrift5">
    <w:name w:val="heading 5"/>
    <w:basedOn w:val="Standard"/>
    <w:next w:val="Textkrper"/>
    <w:uiPriority w:val="9"/>
    <w:unhideWhenUsed/>
    <w:qFormat/>
    <w:rsid w:val="00EB4124"/>
    <w:pPr>
      <w:keepNext/>
      <w:pageBreakBefore/>
      <w:numPr>
        <w:ilvl w:val="4"/>
        <w:numId w:val="25"/>
      </w:numPr>
      <w:spacing w:before="200" w:after="0" w:line="20" w:lineRule="exact"/>
      <w:outlineLvl w:val="4"/>
    </w:pPr>
    <w:rPr>
      <w:rFonts w:asciiTheme="majorHAnsi" w:eastAsiaTheme="majorEastAsia" w:hAnsiTheme="majorHAnsi" w:cstheme="majorBidi"/>
      <w:i/>
      <w:iCs/>
      <w:color w:val="FFFFFF" w:themeColor="background1"/>
      <w:sz w:val="16"/>
    </w:rPr>
  </w:style>
  <w:style w:type="paragraph" w:styleId="berschrift6">
    <w:name w:val="heading 6"/>
    <w:basedOn w:val="Standard"/>
    <w:next w:val="Textkrper"/>
    <w:uiPriority w:val="9"/>
    <w:unhideWhenUsed/>
    <w:qFormat/>
    <w:pPr>
      <w:keepNext/>
      <w:keepLines/>
      <w:numPr>
        <w:ilvl w:val="5"/>
        <w:numId w:val="25"/>
      </w:numPr>
      <w:spacing w:before="200" w:after="0"/>
      <w:outlineLvl w:val="5"/>
    </w:pPr>
    <w:rPr>
      <w:rFonts w:asciiTheme="majorHAnsi" w:eastAsiaTheme="majorEastAsia" w:hAnsiTheme="majorHAnsi" w:cstheme="majorBidi"/>
      <w:color w:val="4F81BD" w:themeColor="accent1"/>
    </w:rPr>
  </w:style>
  <w:style w:type="paragraph" w:styleId="berschrift7">
    <w:name w:val="heading 7"/>
    <w:basedOn w:val="Standard"/>
    <w:next w:val="Standard"/>
    <w:link w:val="berschrift7Zchn"/>
    <w:rsid w:val="00B61903"/>
    <w:pPr>
      <w:keepNext/>
      <w:keepLines/>
      <w:numPr>
        <w:ilvl w:val="6"/>
        <w:numId w:val="25"/>
      </w:numPr>
      <w:spacing w:before="200" w:after="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rsid w:val="00B61903"/>
    <w:pPr>
      <w:keepNext/>
      <w:keepLines/>
      <w:numPr>
        <w:ilvl w:val="7"/>
        <w:numId w:val="25"/>
      </w:numPr>
      <w:spacing w:before="200" w:after="0"/>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chn"/>
    <w:rsid w:val="00B61903"/>
    <w:pPr>
      <w:keepNext/>
      <w:keepLines/>
      <w:numPr>
        <w:ilvl w:val="8"/>
        <w:numId w:val="25"/>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Textkrper">
    <w:name w:val="Body Text"/>
    <w:basedOn w:val="Standard"/>
    <w:link w:val="TextkrperZchn"/>
    <w:qFormat/>
    <w:rsid w:val="00FA0837"/>
    <w:pPr>
      <w:spacing w:before="180" w:after="180"/>
    </w:pPr>
    <w:rPr>
      <w:rFonts w:ascii="Times New Roman" w:hAnsi="Times New Roman"/>
      <w:sz w:val="22"/>
    </w:rPr>
  </w:style>
  <w:style w:type="paragraph" w:customStyle="1" w:styleId="FirstParagraph">
    <w:name w:val="First Paragraph"/>
    <w:basedOn w:val="Textkrper"/>
    <w:next w:val="Textkrper"/>
    <w:qFormat/>
  </w:style>
  <w:style w:type="paragraph" w:customStyle="1" w:styleId="Compact">
    <w:name w:val="Compact"/>
    <w:basedOn w:val="Textkrper"/>
    <w:qFormat/>
    <w:rsid w:val="003E7E5E"/>
    <w:pPr>
      <w:spacing w:before="36" w:after="36"/>
    </w:pPr>
    <w:rPr>
      <w:sz w:val="18"/>
    </w:rPr>
  </w:style>
  <w:style w:type="paragraph" w:styleId="Titel">
    <w:name w:val="Title"/>
    <w:basedOn w:val="Standard"/>
    <w:next w:val="Textkrper"/>
    <w:qFormat/>
    <w:rsid w:val="00B27804"/>
    <w:pPr>
      <w:keepNext/>
      <w:keepLines/>
      <w:spacing w:before="480" w:after="240"/>
      <w:jc w:val="center"/>
    </w:pPr>
    <w:rPr>
      <w:rFonts w:ascii="Times New Roman" w:eastAsiaTheme="majorEastAsia" w:hAnsi="Times New Roman" w:cstheme="majorBidi"/>
      <w:b/>
      <w:bCs/>
      <w:sz w:val="36"/>
      <w:szCs w:val="36"/>
    </w:rPr>
  </w:style>
  <w:style w:type="paragraph" w:styleId="Untertitel">
    <w:name w:val="Subtitle"/>
    <w:basedOn w:val="Titel"/>
    <w:next w:val="Textkrper"/>
    <w:qFormat/>
    <w:pPr>
      <w:spacing w:before="240"/>
    </w:pPr>
    <w:rPr>
      <w:sz w:val="30"/>
      <w:szCs w:val="30"/>
    </w:rPr>
  </w:style>
  <w:style w:type="paragraph" w:customStyle="1" w:styleId="Author">
    <w:name w:val="Author"/>
    <w:next w:val="Textkrper"/>
    <w:qFormat/>
    <w:rsid w:val="003B1B05"/>
    <w:pPr>
      <w:keepNext/>
      <w:keepLines/>
      <w:jc w:val="center"/>
    </w:pPr>
    <w:rPr>
      <w:rFonts w:ascii="Times New Roman" w:hAnsi="Times New Roman"/>
    </w:rPr>
  </w:style>
  <w:style w:type="paragraph" w:styleId="Datum">
    <w:name w:val="Date"/>
    <w:next w:val="Textkrper"/>
    <w:qFormat/>
    <w:pPr>
      <w:keepNext/>
      <w:keepLines/>
      <w:jc w:val="center"/>
    </w:pPr>
  </w:style>
  <w:style w:type="paragraph" w:customStyle="1" w:styleId="Abstract">
    <w:name w:val="Abstract"/>
    <w:basedOn w:val="Standard"/>
    <w:next w:val="Textkrper"/>
    <w:qFormat/>
    <w:rsid w:val="003E7E5E"/>
    <w:pPr>
      <w:keepNext/>
      <w:keepLines/>
      <w:spacing w:before="300" w:after="300"/>
    </w:pPr>
    <w:rPr>
      <w:rFonts w:ascii="Times New Roman" w:hAnsi="Times New Roman"/>
      <w:sz w:val="18"/>
      <w:szCs w:val="20"/>
    </w:rPr>
  </w:style>
  <w:style w:type="paragraph" w:styleId="Literaturverzeichnis">
    <w:name w:val="Bibliography"/>
    <w:basedOn w:val="Standard"/>
    <w:qFormat/>
    <w:rsid w:val="002A4A68"/>
    <w:pPr>
      <w:ind w:left="720" w:hanging="720"/>
    </w:pPr>
    <w:rPr>
      <w:rFonts w:ascii="Times New Roman" w:hAnsi="Times New Roman"/>
      <w:sz w:val="18"/>
    </w:rPr>
  </w:style>
  <w:style w:type="paragraph" w:styleId="Blocktext">
    <w:name w:val="Block Text"/>
    <w:basedOn w:val="Textkrper"/>
    <w:next w:val="Textkrper"/>
    <w:uiPriority w:val="9"/>
    <w:unhideWhenUsed/>
    <w:qFormat/>
    <w:pPr>
      <w:spacing w:before="100" w:after="100"/>
    </w:pPr>
    <w:rPr>
      <w:rFonts w:asciiTheme="majorHAnsi" w:eastAsiaTheme="majorEastAsia" w:hAnsiTheme="majorHAnsi" w:cstheme="majorBidi"/>
      <w:bCs/>
      <w:sz w:val="20"/>
      <w:szCs w:val="20"/>
    </w:rPr>
  </w:style>
  <w:style w:type="paragraph" w:styleId="Funotentext">
    <w:name w:val="footnote text"/>
    <w:basedOn w:val="Standard"/>
    <w:uiPriority w:val="9"/>
    <w:unhideWhenUsed/>
    <w:qFormat/>
    <w:rsid w:val="00F50836"/>
    <w:rPr>
      <w:rFonts w:ascii="Times New Roman" w:hAnsi="Times New Roman"/>
      <w:sz w:val="20"/>
    </w:rPr>
  </w:style>
  <w:style w:type="paragraph" w:customStyle="1" w:styleId="DefinitionTerm">
    <w:name w:val="Definition Term"/>
    <w:basedOn w:val="Standard"/>
    <w:next w:val="Definition"/>
    <w:pPr>
      <w:keepNext/>
      <w:keepLines/>
      <w:spacing w:after="0"/>
    </w:pPr>
    <w:rPr>
      <w:b/>
    </w:rPr>
  </w:style>
  <w:style w:type="paragraph" w:customStyle="1" w:styleId="Definition">
    <w:name w:val="Definition"/>
    <w:basedOn w:val="Standard"/>
  </w:style>
  <w:style w:type="paragraph" w:styleId="Beschriftung">
    <w:name w:val="caption"/>
    <w:basedOn w:val="Standard"/>
    <w:link w:val="BeschriftungZchn"/>
    <w:pPr>
      <w:spacing w:after="120"/>
    </w:pPr>
    <w:rPr>
      <w:i/>
    </w:rPr>
  </w:style>
  <w:style w:type="paragraph" w:customStyle="1" w:styleId="TableCaption">
    <w:name w:val="Table Caption"/>
    <w:basedOn w:val="Beschriftung"/>
    <w:rsid w:val="000B2498"/>
    <w:pPr>
      <w:keepNext/>
    </w:pPr>
    <w:rPr>
      <w:rFonts w:ascii="Times New Roman" w:hAnsi="Times New Roman"/>
      <w:i w:val="0"/>
      <w:sz w:val="18"/>
    </w:rPr>
  </w:style>
  <w:style w:type="paragraph" w:customStyle="1" w:styleId="ImageCaption">
    <w:name w:val="Image Caption"/>
    <w:basedOn w:val="Beschriftung"/>
  </w:style>
  <w:style w:type="paragraph" w:customStyle="1" w:styleId="Figure">
    <w:name w:val="Figure"/>
    <w:basedOn w:val="Standard"/>
  </w:style>
  <w:style w:type="paragraph" w:customStyle="1" w:styleId="FigurewithCaption">
    <w:name w:val="Figure with Caption"/>
    <w:basedOn w:val="Figure"/>
    <w:pPr>
      <w:keepNext/>
    </w:pPr>
  </w:style>
  <w:style w:type="character" w:customStyle="1" w:styleId="BeschriftungZchn">
    <w:name w:val="Beschriftung Zchn"/>
    <w:basedOn w:val="Absatz-Standardschriftart"/>
    <w:link w:val="Beschriftung"/>
  </w:style>
  <w:style w:type="character" w:customStyle="1" w:styleId="VerbatimChar">
    <w:name w:val="Verbatim Char"/>
    <w:basedOn w:val="BeschriftungZchn"/>
    <w:link w:val="SourceCode"/>
    <w:rPr>
      <w:rFonts w:ascii="Consolas" w:hAnsi="Consolas"/>
      <w:sz w:val="22"/>
    </w:rPr>
  </w:style>
  <w:style w:type="character" w:styleId="Funotenzeichen">
    <w:name w:val="footnote reference"/>
    <w:basedOn w:val="BeschriftungZchn"/>
    <w:rPr>
      <w:vertAlign w:val="superscript"/>
    </w:rPr>
  </w:style>
  <w:style w:type="character" w:styleId="Hyperlink">
    <w:name w:val="Hyperlink"/>
    <w:basedOn w:val="BeschriftungZchn"/>
    <w:rPr>
      <w:color w:val="4F81BD" w:themeColor="accent1"/>
    </w:rPr>
  </w:style>
  <w:style w:type="paragraph" w:styleId="Inhaltsverzeichnisberschrift">
    <w:name w:val="TOC Heading"/>
    <w:basedOn w:val="berschrift1"/>
    <w:next w:val="Textkrper"/>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Standard"/>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Sprechblasentext">
    <w:name w:val="Balloon Text"/>
    <w:basedOn w:val="Standard"/>
    <w:link w:val="SprechblasentextZchn"/>
    <w:rsid w:val="00EB4124"/>
    <w:pPr>
      <w:spacing w:after="0"/>
    </w:pPr>
    <w:rPr>
      <w:rFonts w:ascii="Tahoma" w:hAnsi="Tahoma" w:cs="Tahoma"/>
      <w:sz w:val="16"/>
      <w:szCs w:val="16"/>
    </w:rPr>
  </w:style>
  <w:style w:type="character" w:customStyle="1" w:styleId="TextkrperZchn">
    <w:name w:val="Textkörper Zchn"/>
    <w:basedOn w:val="Absatz-Standardschriftart"/>
    <w:link w:val="Textkrper"/>
    <w:rsid w:val="00FA0837"/>
    <w:rPr>
      <w:rFonts w:ascii="Times New Roman" w:hAnsi="Times New Roman"/>
      <w:sz w:val="22"/>
    </w:rPr>
  </w:style>
  <w:style w:type="character" w:customStyle="1" w:styleId="SprechblasentextZchn">
    <w:name w:val="Sprechblasentext Zchn"/>
    <w:basedOn w:val="Absatz-Standardschriftart"/>
    <w:link w:val="Sprechblasentext"/>
    <w:rsid w:val="00EB4124"/>
    <w:rPr>
      <w:rFonts w:ascii="Tahoma" w:hAnsi="Tahoma" w:cs="Tahoma"/>
      <w:sz w:val="16"/>
      <w:szCs w:val="16"/>
    </w:rPr>
  </w:style>
  <w:style w:type="character" w:styleId="Zeilennummer">
    <w:name w:val="line number"/>
    <w:basedOn w:val="Absatz-Standardschriftart"/>
    <w:rsid w:val="00CD7565"/>
    <w:rPr>
      <w:rFonts w:ascii="Times" w:hAnsi="Times"/>
      <w:sz w:val="18"/>
    </w:rPr>
  </w:style>
  <w:style w:type="paragraph" w:styleId="Fu-Endnotenberschrift">
    <w:name w:val="Note Heading"/>
    <w:basedOn w:val="Standard"/>
    <w:next w:val="Standard"/>
    <w:link w:val="Fu-EndnotenberschriftZchn"/>
    <w:rsid w:val="003B1B05"/>
    <w:pPr>
      <w:spacing w:after="0" w:line="240" w:lineRule="auto"/>
    </w:pPr>
    <w:rPr>
      <w:rFonts w:ascii="Times New Roman" w:hAnsi="Times New Roman"/>
    </w:rPr>
  </w:style>
  <w:style w:type="character" w:customStyle="1" w:styleId="Fu-EndnotenberschriftZchn">
    <w:name w:val="Fuß/-Endnotenüberschrift Zchn"/>
    <w:basedOn w:val="Absatz-Standardschriftart"/>
    <w:link w:val="Fu-Endnotenberschrift"/>
    <w:rsid w:val="003B1B05"/>
    <w:rPr>
      <w:rFonts w:ascii="Times New Roman" w:hAnsi="Times New Roman"/>
    </w:rPr>
  </w:style>
  <w:style w:type="character" w:customStyle="1" w:styleId="berschrift7Zchn">
    <w:name w:val="Überschrift 7 Zchn"/>
    <w:basedOn w:val="Absatz-Standardschriftart"/>
    <w:link w:val="berschrift7"/>
    <w:rsid w:val="00B61903"/>
    <w:rPr>
      <w:rFonts w:asciiTheme="majorHAnsi" w:eastAsiaTheme="majorEastAsia" w:hAnsiTheme="majorHAnsi" w:cstheme="majorBidi"/>
      <w:i/>
      <w:iCs/>
      <w:color w:val="404040" w:themeColor="text1" w:themeTint="BF"/>
    </w:rPr>
  </w:style>
  <w:style w:type="character" w:customStyle="1" w:styleId="berschrift8Zchn">
    <w:name w:val="Überschrift 8 Zchn"/>
    <w:basedOn w:val="Absatz-Standardschriftart"/>
    <w:link w:val="berschrift8"/>
    <w:rsid w:val="00B61903"/>
    <w:rPr>
      <w:rFonts w:asciiTheme="majorHAnsi" w:eastAsiaTheme="majorEastAsia" w:hAnsiTheme="majorHAnsi" w:cstheme="majorBidi"/>
      <w:color w:val="404040" w:themeColor="text1" w:themeTint="BF"/>
      <w:sz w:val="20"/>
      <w:szCs w:val="20"/>
    </w:rPr>
  </w:style>
  <w:style w:type="character" w:customStyle="1" w:styleId="berschrift9Zchn">
    <w:name w:val="Überschrift 9 Zchn"/>
    <w:basedOn w:val="Absatz-Standardschriftart"/>
    <w:link w:val="berschrift9"/>
    <w:rsid w:val="00B61903"/>
    <w:rPr>
      <w:rFonts w:asciiTheme="majorHAnsi" w:eastAsiaTheme="majorEastAsia" w:hAnsiTheme="majorHAnsi" w:cstheme="majorBidi"/>
      <w:i/>
      <w:iCs/>
      <w:color w:val="404040" w:themeColor="text1" w:themeTint="BF"/>
      <w:sz w:val="20"/>
      <w:szCs w:val="20"/>
    </w:rPr>
  </w:style>
  <w:style w:type="paragraph" w:customStyle="1" w:styleId="MSsectionnumb">
    <w:name w:val="MS_section_numb"/>
    <w:basedOn w:val="berschrift1"/>
    <w:qFormat/>
    <w:rsid w:val="00B61903"/>
  </w:style>
  <w:style w:type="paragraph" w:customStyle="1" w:styleId="MSlinenumb">
    <w:name w:val="MS_line_numb"/>
    <w:basedOn w:val="Abstract"/>
    <w:qFormat/>
    <w:rsid w:val="00E669D4"/>
    <w:rPr>
      <w:lang w:val="de-DE"/>
    </w:rPr>
  </w:style>
  <w:style w:type="paragraph" w:styleId="Kopfzeile">
    <w:name w:val="header"/>
    <w:basedOn w:val="Standard"/>
    <w:link w:val="KopfzeileZchn"/>
    <w:rsid w:val="00B92DA1"/>
    <w:pPr>
      <w:tabs>
        <w:tab w:val="center" w:pos="4680"/>
        <w:tab w:val="right" w:pos="9360"/>
      </w:tabs>
      <w:spacing w:after="0" w:line="240" w:lineRule="auto"/>
    </w:pPr>
  </w:style>
  <w:style w:type="character" w:customStyle="1" w:styleId="KopfzeileZchn">
    <w:name w:val="Kopfzeile Zchn"/>
    <w:basedOn w:val="Absatz-Standardschriftart"/>
    <w:link w:val="Kopfzeile"/>
    <w:rsid w:val="00B92DA1"/>
  </w:style>
  <w:style w:type="paragraph" w:styleId="Fuzeile">
    <w:name w:val="footer"/>
    <w:basedOn w:val="Standard"/>
    <w:link w:val="FuzeileZchn"/>
    <w:rsid w:val="00B92DA1"/>
    <w:pPr>
      <w:tabs>
        <w:tab w:val="center" w:pos="4680"/>
        <w:tab w:val="right" w:pos="9360"/>
      </w:tabs>
      <w:spacing w:after="0" w:line="240" w:lineRule="auto"/>
    </w:pPr>
  </w:style>
  <w:style w:type="character" w:customStyle="1" w:styleId="FuzeileZchn">
    <w:name w:val="Fußzeile Zchn"/>
    <w:basedOn w:val="Absatz-Standardschriftart"/>
    <w:link w:val="Fuzeile"/>
    <w:rsid w:val="00B92DA1"/>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4"/>
        <w:szCs w:val="24"/>
        <w:lang w:val="en-US" w:eastAsia="en-US" w:bidi="ar-SA"/>
      </w:rPr>
    </w:rPrDefault>
    <w:pPrDefault>
      <w:pPr>
        <w:spacing w:after="160" w:line="480" w:lineRule="auto"/>
      </w:pPr>
    </w:pPrDefault>
  </w:docDefaults>
  <w:latentStyles w:defLockedState="0" w:defUIPriority="0" w:defSemiHidden="0" w:defUnhideWhenUsed="0" w:defQFormat="0" w:count="267"/>
  <w:style w:type="paragraph" w:default="1" w:styleId="Standard">
    <w:name w:val="Normal"/>
    <w:qFormat/>
  </w:style>
  <w:style w:type="paragraph" w:styleId="berschrift1">
    <w:name w:val="heading 1"/>
    <w:basedOn w:val="Standard"/>
    <w:next w:val="Textkrper"/>
    <w:uiPriority w:val="9"/>
    <w:qFormat/>
    <w:rsid w:val="00B27804"/>
    <w:pPr>
      <w:keepNext/>
      <w:keepLines/>
      <w:numPr>
        <w:numId w:val="25"/>
      </w:numPr>
      <w:spacing w:before="480" w:after="0"/>
      <w:outlineLvl w:val="0"/>
    </w:pPr>
    <w:rPr>
      <w:rFonts w:ascii="Times New Roman" w:eastAsiaTheme="majorEastAsia" w:hAnsi="Times New Roman" w:cstheme="majorBidi"/>
      <w:b/>
      <w:bCs/>
      <w:sz w:val="32"/>
      <w:szCs w:val="32"/>
    </w:rPr>
  </w:style>
  <w:style w:type="paragraph" w:styleId="berschrift2">
    <w:name w:val="heading 2"/>
    <w:basedOn w:val="Standard"/>
    <w:next w:val="Textkrper"/>
    <w:uiPriority w:val="9"/>
    <w:unhideWhenUsed/>
    <w:qFormat/>
    <w:rsid w:val="00B27804"/>
    <w:pPr>
      <w:keepNext/>
      <w:keepLines/>
      <w:numPr>
        <w:ilvl w:val="1"/>
        <w:numId w:val="25"/>
      </w:numPr>
      <w:spacing w:before="200" w:after="0"/>
      <w:outlineLvl w:val="1"/>
    </w:pPr>
    <w:rPr>
      <w:rFonts w:ascii="Times New Roman" w:eastAsiaTheme="majorEastAsia" w:hAnsi="Times New Roman" w:cstheme="majorBidi"/>
      <w:b/>
      <w:bCs/>
      <w:sz w:val="28"/>
      <w:szCs w:val="32"/>
    </w:rPr>
  </w:style>
  <w:style w:type="paragraph" w:styleId="berschrift3">
    <w:name w:val="heading 3"/>
    <w:basedOn w:val="Standard"/>
    <w:next w:val="Textkrper"/>
    <w:uiPriority w:val="9"/>
    <w:unhideWhenUsed/>
    <w:qFormat/>
    <w:rsid w:val="002A4A68"/>
    <w:pPr>
      <w:keepNext/>
      <w:keepLines/>
      <w:numPr>
        <w:ilvl w:val="2"/>
        <w:numId w:val="25"/>
      </w:numPr>
      <w:spacing w:before="200" w:after="0"/>
      <w:outlineLvl w:val="2"/>
    </w:pPr>
    <w:rPr>
      <w:rFonts w:ascii="Times New Roman" w:eastAsiaTheme="majorEastAsia" w:hAnsi="Times New Roman" w:cstheme="majorBidi"/>
      <w:b/>
      <w:bCs/>
      <w:sz w:val="28"/>
      <w:szCs w:val="28"/>
    </w:rPr>
  </w:style>
  <w:style w:type="paragraph" w:styleId="berschrift4">
    <w:name w:val="heading 4"/>
    <w:basedOn w:val="Standard"/>
    <w:next w:val="Textkrper"/>
    <w:uiPriority w:val="9"/>
    <w:unhideWhenUsed/>
    <w:qFormat/>
    <w:pPr>
      <w:keepNext/>
      <w:keepLines/>
      <w:numPr>
        <w:ilvl w:val="3"/>
        <w:numId w:val="25"/>
      </w:numPr>
      <w:spacing w:before="200" w:after="0"/>
      <w:outlineLvl w:val="3"/>
    </w:pPr>
    <w:rPr>
      <w:rFonts w:asciiTheme="majorHAnsi" w:eastAsiaTheme="majorEastAsia" w:hAnsiTheme="majorHAnsi" w:cstheme="majorBidi"/>
      <w:b/>
      <w:bCs/>
      <w:color w:val="4F81BD" w:themeColor="accent1"/>
    </w:rPr>
  </w:style>
  <w:style w:type="paragraph" w:styleId="berschrift5">
    <w:name w:val="heading 5"/>
    <w:basedOn w:val="Standard"/>
    <w:next w:val="Textkrper"/>
    <w:uiPriority w:val="9"/>
    <w:unhideWhenUsed/>
    <w:qFormat/>
    <w:rsid w:val="00EB4124"/>
    <w:pPr>
      <w:keepNext/>
      <w:pageBreakBefore/>
      <w:numPr>
        <w:ilvl w:val="4"/>
        <w:numId w:val="25"/>
      </w:numPr>
      <w:spacing w:before="200" w:after="0" w:line="20" w:lineRule="exact"/>
      <w:outlineLvl w:val="4"/>
    </w:pPr>
    <w:rPr>
      <w:rFonts w:asciiTheme="majorHAnsi" w:eastAsiaTheme="majorEastAsia" w:hAnsiTheme="majorHAnsi" w:cstheme="majorBidi"/>
      <w:i/>
      <w:iCs/>
      <w:color w:val="FFFFFF" w:themeColor="background1"/>
      <w:sz w:val="16"/>
    </w:rPr>
  </w:style>
  <w:style w:type="paragraph" w:styleId="berschrift6">
    <w:name w:val="heading 6"/>
    <w:basedOn w:val="Standard"/>
    <w:next w:val="Textkrper"/>
    <w:uiPriority w:val="9"/>
    <w:unhideWhenUsed/>
    <w:qFormat/>
    <w:pPr>
      <w:keepNext/>
      <w:keepLines/>
      <w:numPr>
        <w:ilvl w:val="5"/>
        <w:numId w:val="25"/>
      </w:numPr>
      <w:spacing w:before="200" w:after="0"/>
      <w:outlineLvl w:val="5"/>
    </w:pPr>
    <w:rPr>
      <w:rFonts w:asciiTheme="majorHAnsi" w:eastAsiaTheme="majorEastAsia" w:hAnsiTheme="majorHAnsi" w:cstheme="majorBidi"/>
      <w:color w:val="4F81BD" w:themeColor="accent1"/>
    </w:rPr>
  </w:style>
  <w:style w:type="paragraph" w:styleId="berschrift7">
    <w:name w:val="heading 7"/>
    <w:basedOn w:val="Standard"/>
    <w:next w:val="Standard"/>
    <w:link w:val="berschrift7Zchn"/>
    <w:rsid w:val="00B61903"/>
    <w:pPr>
      <w:keepNext/>
      <w:keepLines/>
      <w:numPr>
        <w:ilvl w:val="6"/>
        <w:numId w:val="25"/>
      </w:numPr>
      <w:spacing w:before="200" w:after="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rsid w:val="00B61903"/>
    <w:pPr>
      <w:keepNext/>
      <w:keepLines/>
      <w:numPr>
        <w:ilvl w:val="7"/>
        <w:numId w:val="25"/>
      </w:numPr>
      <w:spacing w:before="200" w:after="0"/>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chn"/>
    <w:rsid w:val="00B61903"/>
    <w:pPr>
      <w:keepNext/>
      <w:keepLines/>
      <w:numPr>
        <w:ilvl w:val="8"/>
        <w:numId w:val="25"/>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Textkrper">
    <w:name w:val="Body Text"/>
    <w:basedOn w:val="Standard"/>
    <w:link w:val="TextkrperZchn"/>
    <w:qFormat/>
    <w:rsid w:val="00FA0837"/>
    <w:pPr>
      <w:spacing w:before="180" w:after="180"/>
    </w:pPr>
    <w:rPr>
      <w:rFonts w:ascii="Times New Roman" w:hAnsi="Times New Roman"/>
      <w:sz w:val="22"/>
    </w:rPr>
  </w:style>
  <w:style w:type="paragraph" w:customStyle="1" w:styleId="FirstParagraph">
    <w:name w:val="First Paragraph"/>
    <w:basedOn w:val="Textkrper"/>
    <w:next w:val="Textkrper"/>
    <w:qFormat/>
  </w:style>
  <w:style w:type="paragraph" w:customStyle="1" w:styleId="Compact">
    <w:name w:val="Compact"/>
    <w:basedOn w:val="Textkrper"/>
    <w:qFormat/>
    <w:rsid w:val="003E7E5E"/>
    <w:pPr>
      <w:spacing w:before="36" w:after="36"/>
    </w:pPr>
    <w:rPr>
      <w:sz w:val="18"/>
    </w:rPr>
  </w:style>
  <w:style w:type="paragraph" w:styleId="Titel">
    <w:name w:val="Title"/>
    <w:basedOn w:val="Standard"/>
    <w:next w:val="Textkrper"/>
    <w:qFormat/>
    <w:rsid w:val="00B27804"/>
    <w:pPr>
      <w:keepNext/>
      <w:keepLines/>
      <w:spacing w:before="480" w:after="240"/>
      <w:jc w:val="center"/>
    </w:pPr>
    <w:rPr>
      <w:rFonts w:ascii="Times New Roman" w:eastAsiaTheme="majorEastAsia" w:hAnsi="Times New Roman" w:cstheme="majorBidi"/>
      <w:b/>
      <w:bCs/>
      <w:sz w:val="36"/>
      <w:szCs w:val="36"/>
    </w:rPr>
  </w:style>
  <w:style w:type="paragraph" w:styleId="Untertitel">
    <w:name w:val="Subtitle"/>
    <w:basedOn w:val="Titel"/>
    <w:next w:val="Textkrper"/>
    <w:qFormat/>
    <w:pPr>
      <w:spacing w:before="240"/>
    </w:pPr>
    <w:rPr>
      <w:sz w:val="30"/>
      <w:szCs w:val="30"/>
    </w:rPr>
  </w:style>
  <w:style w:type="paragraph" w:customStyle="1" w:styleId="Author">
    <w:name w:val="Author"/>
    <w:next w:val="Textkrper"/>
    <w:qFormat/>
    <w:rsid w:val="003B1B05"/>
    <w:pPr>
      <w:keepNext/>
      <w:keepLines/>
      <w:jc w:val="center"/>
    </w:pPr>
    <w:rPr>
      <w:rFonts w:ascii="Times New Roman" w:hAnsi="Times New Roman"/>
    </w:rPr>
  </w:style>
  <w:style w:type="paragraph" w:styleId="Datum">
    <w:name w:val="Date"/>
    <w:next w:val="Textkrper"/>
    <w:qFormat/>
    <w:pPr>
      <w:keepNext/>
      <w:keepLines/>
      <w:jc w:val="center"/>
    </w:pPr>
  </w:style>
  <w:style w:type="paragraph" w:customStyle="1" w:styleId="Abstract">
    <w:name w:val="Abstract"/>
    <w:basedOn w:val="Standard"/>
    <w:next w:val="Textkrper"/>
    <w:qFormat/>
    <w:rsid w:val="003E7E5E"/>
    <w:pPr>
      <w:keepNext/>
      <w:keepLines/>
      <w:spacing w:before="300" w:after="300"/>
    </w:pPr>
    <w:rPr>
      <w:rFonts w:ascii="Times New Roman" w:hAnsi="Times New Roman"/>
      <w:sz w:val="18"/>
      <w:szCs w:val="20"/>
    </w:rPr>
  </w:style>
  <w:style w:type="paragraph" w:styleId="Literaturverzeichnis">
    <w:name w:val="Bibliography"/>
    <w:basedOn w:val="Standard"/>
    <w:qFormat/>
    <w:rsid w:val="002A4A68"/>
    <w:pPr>
      <w:ind w:left="720" w:hanging="720"/>
    </w:pPr>
    <w:rPr>
      <w:rFonts w:ascii="Times New Roman" w:hAnsi="Times New Roman"/>
      <w:sz w:val="18"/>
    </w:rPr>
  </w:style>
  <w:style w:type="paragraph" w:styleId="Blocktext">
    <w:name w:val="Block Text"/>
    <w:basedOn w:val="Textkrper"/>
    <w:next w:val="Textkrper"/>
    <w:uiPriority w:val="9"/>
    <w:unhideWhenUsed/>
    <w:qFormat/>
    <w:pPr>
      <w:spacing w:before="100" w:after="100"/>
    </w:pPr>
    <w:rPr>
      <w:rFonts w:asciiTheme="majorHAnsi" w:eastAsiaTheme="majorEastAsia" w:hAnsiTheme="majorHAnsi" w:cstheme="majorBidi"/>
      <w:bCs/>
      <w:sz w:val="20"/>
      <w:szCs w:val="20"/>
    </w:rPr>
  </w:style>
  <w:style w:type="paragraph" w:styleId="Funotentext">
    <w:name w:val="footnote text"/>
    <w:basedOn w:val="Standard"/>
    <w:uiPriority w:val="9"/>
    <w:unhideWhenUsed/>
    <w:qFormat/>
    <w:rsid w:val="00F50836"/>
    <w:rPr>
      <w:rFonts w:ascii="Times New Roman" w:hAnsi="Times New Roman"/>
      <w:sz w:val="20"/>
    </w:rPr>
  </w:style>
  <w:style w:type="paragraph" w:customStyle="1" w:styleId="DefinitionTerm">
    <w:name w:val="Definition Term"/>
    <w:basedOn w:val="Standard"/>
    <w:next w:val="Definition"/>
    <w:pPr>
      <w:keepNext/>
      <w:keepLines/>
      <w:spacing w:after="0"/>
    </w:pPr>
    <w:rPr>
      <w:b/>
    </w:rPr>
  </w:style>
  <w:style w:type="paragraph" w:customStyle="1" w:styleId="Definition">
    <w:name w:val="Definition"/>
    <w:basedOn w:val="Standard"/>
  </w:style>
  <w:style w:type="paragraph" w:styleId="Beschriftung">
    <w:name w:val="caption"/>
    <w:basedOn w:val="Standard"/>
    <w:link w:val="BeschriftungZchn"/>
    <w:pPr>
      <w:spacing w:after="120"/>
    </w:pPr>
    <w:rPr>
      <w:i/>
    </w:rPr>
  </w:style>
  <w:style w:type="paragraph" w:customStyle="1" w:styleId="TableCaption">
    <w:name w:val="Table Caption"/>
    <w:basedOn w:val="Beschriftung"/>
    <w:rsid w:val="000B2498"/>
    <w:pPr>
      <w:keepNext/>
    </w:pPr>
    <w:rPr>
      <w:rFonts w:ascii="Times New Roman" w:hAnsi="Times New Roman"/>
      <w:i w:val="0"/>
      <w:sz w:val="18"/>
    </w:rPr>
  </w:style>
  <w:style w:type="paragraph" w:customStyle="1" w:styleId="ImageCaption">
    <w:name w:val="Image Caption"/>
    <w:basedOn w:val="Beschriftung"/>
  </w:style>
  <w:style w:type="paragraph" w:customStyle="1" w:styleId="Figure">
    <w:name w:val="Figure"/>
    <w:basedOn w:val="Standard"/>
  </w:style>
  <w:style w:type="paragraph" w:customStyle="1" w:styleId="FigurewithCaption">
    <w:name w:val="Figure with Caption"/>
    <w:basedOn w:val="Figure"/>
    <w:pPr>
      <w:keepNext/>
    </w:pPr>
  </w:style>
  <w:style w:type="character" w:customStyle="1" w:styleId="BeschriftungZchn">
    <w:name w:val="Beschriftung Zchn"/>
    <w:basedOn w:val="Absatz-Standardschriftart"/>
    <w:link w:val="Beschriftung"/>
  </w:style>
  <w:style w:type="character" w:customStyle="1" w:styleId="VerbatimChar">
    <w:name w:val="Verbatim Char"/>
    <w:basedOn w:val="BeschriftungZchn"/>
    <w:link w:val="SourceCode"/>
    <w:rPr>
      <w:rFonts w:ascii="Consolas" w:hAnsi="Consolas"/>
      <w:sz w:val="22"/>
    </w:rPr>
  </w:style>
  <w:style w:type="character" w:styleId="Funotenzeichen">
    <w:name w:val="footnote reference"/>
    <w:basedOn w:val="BeschriftungZchn"/>
    <w:rPr>
      <w:vertAlign w:val="superscript"/>
    </w:rPr>
  </w:style>
  <w:style w:type="character" w:styleId="Hyperlink">
    <w:name w:val="Hyperlink"/>
    <w:basedOn w:val="BeschriftungZchn"/>
    <w:rPr>
      <w:color w:val="4F81BD" w:themeColor="accent1"/>
    </w:rPr>
  </w:style>
  <w:style w:type="paragraph" w:styleId="Inhaltsverzeichnisberschrift">
    <w:name w:val="TOC Heading"/>
    <w:basedOn w:val="berschrift1"/>
    <w:next w:val="Textkrper"/>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Standard"/>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Sprechblasentext">
    <w:name w:val="Balloon Text"/>
    <w:basedOn w:val="Standard"/>
    <w:link w:val="SprechblasentextZchn"/>
    <w:rsid w:val="00EB4124"/>
    <w:pPr>
      <w:spacing w:after="0"/>
    </w:pPr>
    <w:rPr>
      <w:rFonts w:ascii="Tahoma" w:hAnsi="Tahoma" w:cs="Tahoma"/>
      <w:sz w:val="16"/>
      <w:szCs w:val="16"/>
    </w:rPr>
  </w:style>
  <w:style w:type="character" w:customStyle="1" w:styleId="TextkrperZchn">
    <w:name w:val="Textkörper Zchn"/>
    <w:basedOn w:val="Absatz-Standardschriftart"/>
    <w:link w:val="Textkrper"/>
    <w:rsid w:val="00FA0837"/>
    <w:rPr>
      <w:rFonts w:ascii="Times New Roman" w:hAnsi="Times New Roman"/>
      <w:sz w:val="22"/>
    </w:rPr>
  </w:style>
  <w:style w:type="character" w:customStyle="1" w:styleId="SprechblasentextZchn">
    <w:name w:val="Sprechblasentext Zchn"/>
    <w:basedOn w:val="Absatz-Standardschriftart"/>
    <w:link w:val="Sprechblasentext"/>
    <w:rsid w:val="00EB4124"/>
    <w:rPr>
      <w:rFonts w:ascii="Tahoma" w:hAnsi="Tahoma" w:cs="Tahoma"/>
      <w:sz w:val="16"/>
      <w:szCs w:val="16"/>
    </w:rPr>
  </w:style>
  <w:style w:type="character" w:styleId="Zeilennummer">
    <w:name w:val="line number"/>
    <w:basedOn w:val="Absatz-Standardschriftart"/>
    <w:rsid w:val="00CD7565"/>
    <w:rPr>
      <w:rFonts w:ascii="Times" w:hAnsi="Times"/>
      <w:sz w:val="18"/>
    </w:rPr>
  </w:style>
  <w:style w:type="paragraph" w:styleId="Fu-Endnotenberschrift">
    <w:name w:val="Note Heading"/>
    <w:basedOn w:val="Standard"/>
    <w:next w:val="Standard"/>
    <w:link w:val="Fu-EndnotenberschriftZchn"/>
    <w:rsid w:val="003B1B05"/>
    <w:pPr>
      <w:spacing w:after="0" w:line="240" w:lineRule="auto"/>
    </w:pPr>
    <w:rPr>
      <w:rFonts w:ascii="Times New Roman" w:hAnsi="Times New Roman"/>
    </w:rPr>
  </w:style>
  <w:style w:type="character" w:customStyle="1" w:styleId="Fu-EndnotenberschriftZchn">
    <w:name w:val="Fuß/-Endnotenüberschrift Zchn"/>
    <w:basedOn w:val="Absatz-Standardschriftart"/>
    <w:link w:val="Fu-Endnotenberschrift"/>
    <w:rsid w:val="003B1B05"/>
    <w:rPr>
      <w:rFonts w:ascii="Times New Roman" w:hAnsi="Times New Roman"/>
    </w:rPr>
  </w:style>
  <w:style w:type="character" w:customStyle="1" w:styleId="berschrift7Zchn">
    <w:name w:val="Überschrift 7 Zchn"/>
    <w:basedOn w:val="Absatz-Standardschriftart"/>
    <w:link w:val="berschrift7"/>
    <w:rsid w:val="00B61903"/>
    <w:rPr>
      <w:rFonts w:asciiTheme="majorHAnsi" w:eastAsiaTheme="majorEastAsia" w:hAnsiTheme="majorHAnsi" w:cstheme="majorBidi"/>
      <w:i/>
      <w:iCs/>
      <w:color w:val="404040" w:themeColor="text1" w:themeTint="BF"/>
    </w:rPr>
  </w:style>
  <w:style w:type="character" w:customStyle="1" w:styleId="berschrift8Zchn">
    <w:name w:val="Überschrift 8 Zchn"/>
    <w:basedOn w:val="Absatz-Standardschriftart"/>
    <w:link w:val="berschrift8"/>
    <w:rsid w:val="00B61903"/>
    <w:rPr>
      <w:rFonts w:asciiTheme="majorHAnsi" w:eastAsiaTheme="majorEastAsia" w:hAnsiTheme="majorHAnsi" w:cstheme="majorBidi"/>
      <w:color w:val="404040" w:themeColor="text1" w:themeTint="BF"/>
      <w:sz w:val="20"/>
      <w:szCs w:val="20"/>
    </w:rPr>
  </w:style>
  <w:style w:type="character" w:customStyle="1" w:styleId="berschrift9Zchn">
    <w:name w:val="Überschrift 9 Zchn"/>
    <w:basedOn w:val="Absatz-Standardschriftart"/>
    <w:link w:val="berschrift9"/>
    <w:rsid w:val="00B61903"/>
    <w:rPr>
      <w:rFonts w:asciiTheme="majorHAnsi" w:eastAsiaTheme="majorEastAsia" w:hAnsiTheme="majorHAnsi" w:cstheme="majorBidi"/>
      <w:i/>
      <w:iCs/>
      <w:color w:val="404040" w:themeColor="text1" w:themeTint="BF"/>
      <w:sz w:val="20"/>
      <w:szCs w:val="20"/>
    </w:rPr>
  </w:style>
  <w:style w:type="paragraph" w:customStyle="1" w:styleId="MSsectionnumb">
    <w:name w:val="MS_section_numb"/>
    <w:basedOn w:val="berschrift1"/>
    <w:qFormat/>
    <w:rsid w:val="00B61903"/>
  </w:style>
  <w:style w:type="paragraph" w:customStyle="1" w:styleId="MSlinenumb">
    <w:name w:val="MS_line_numb"/>
    <w:basedOn w:val="Abstract"/>
    <w:qFormat/>
    <w:rsid w:val="00E669D4"/>
    <w:rPr>
      <w:lang w:val="de-DE"/>
    </w:rPr>
  </w:style>
  <w:style w:type="paragraph" w:styleId="Kopfzeile">
    <w:name w:val="header"/>
    <w:basedOn w:val="Standard"/>
    <w:link w:val="KopfzeileZchn"/>
    <w:rsid w:val="00B92DA1"/>
    <w:pPr>
      <w:tabs>
        <w:tab w:val="center" w:pos="4680"/>
        <w:tab w:val="right" w:pos="9360"/>
      </w:tabs>
      <w:spacing w:after="0" w:line="240" w:lineRule="auto"/>
    </w:pPr>
  </w:style>
  <w:style w:type="character" w:customStyle="1" w:styleId="KopfzeileZchn">
    <w:name w:val="Kopfzeile Zchn"/>
    <w:basedOn w:val="Absatz-Standardschriftart"/>
    <w:link w:val="Kopfzeile"/>
    <w:rsid w:val="00B92DA1"/>
  </w:style>
  <w:style w:type="paragraph" w:styleId="Fuzeile">
    <w:name w:val="footer"/>
    <w:basedOn w:val="Standard"/>
    <w:link w:val="FuzeileZchn"/>
    <w:rsid w:val="00B92DA1"/>
    <w:pPr>
      <w:tabs>
        <w:tab w:val="center" w:pos="4680"/>
        <w:tab w:val="right" w:pos="9360"/>
      </w:tabs>
      <w:spacing w:after="0" w:line="240" w:lineRule="auto"/>
    </w:pPr>
  </w:style>
  <w:style w:type="character" w:customStyle="1" w:styleId="FuzeileZchn">
    <w:name w:val="Fußzeile Zchn"/>
    <w:basedOn w:val="Absatz-Standardschriftart"/>
    <w:link w:val="Fuzeile"/>
    <w:rsid w:val="00B92DA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image" Target="media/image6.png"/><Relationship Id="rId3" Type="http://schemas.microsoft.com/office/2007/relationships/stylesWithEffects" Target="stylesWithEffect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footer" Target="footer1.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51</Pages>
  <Words>14153</Words>
  <Characters>80678</Characters>
  <Application>Microsoft Office Word</Application>
  <DocSecurity>0</DocSecurity>
  <Lines>672</Lines>
  <Paragraphs>189</Paragraphs>
  <ScaleCrop>false</ScaleCrop>
  <HeadingPairs>
    <vt:vector size="4" baseType="variant">
      <vt:variant>
        <vt:lpstr>Titel</vt:lpstr>
      </vt:variant>
      <vt:variant>
        <vt:i4>1</vt:i4>
      </vt:variant>
      <vt:variant>
        <vt:lpstr>Überschriften</vt:lpstr>
      </vt:variant>
      <vt:variant>
        <vt:i4>23</vt:i4>
      </vt:variant>
    </vt:vector>
  </HeadingPairs>
  <TitlesOfParts>
    <vt:vector size="24" baseType="lpstr">
      <vt:lpstr>A comparative study of total organic carbon-δ13C isotope signatures in the Triassic–Jurassic transitional beds of the Central European Basin and western Tethys shelf seas</vt:lpstr>
      <vt:lpstr>Introduction</vt:lpstr>
      <vt:lpstr>Geological setting</vt:lpstr>
      <vt:lpstr>    Palaeogeography of the Central European Basin and the western Tethys shelf seas</vt:lpstr>
      <vt:lpstr>    General lithology of the Central European Basin and the western Tethys shelf sea</vt:lpstr>
      <vt:lpstr>Materials and Methods</vt:lpstr>
      <vt:lpstr>    Materials</vt:lpstr>
      <vt:lpstr>    Bulk rock biogeochemical analysis</vt:lpstr>
      <vt:lpstr>    Microfloral analysis</vt:lpstr>
      <vt:lpstr>    Data processing, statistics and visualization</vt:lpstr>
      <vt:lpstr>Chemical weathering indices</vt:lpstr>
      <vt:lpstr>Results</vt:lpstr>
      <vt:lpstr>    Litho- and biostratigraphy Bonenburg</vt:lpstr>
      <vt:lpstr>    Litho- and biostratigraphy Kuhjoch</vt:lpstr>
      <vt:lpstr>    Comparative mineralogy of the Tr–J transition beds</vt:lpstr>
      <vt:lpstr>    Bulk rock biogeochemical properties of the Tr–J transition beds</vt:lpstr>
      <vt:lpstr>Discussion</vt:lpstr>
      <vt:lpstr>    A correlative framework for the Central European Basin and the western Tethys sh</vt:lpstr>
      <vt:lpstr>    Organic matter sources and preservation</vt:lpstr>
      <vt:lpstr>    Perspectives on TOC-carbon isotope based stratigraphic schemes</vt:lpstr>
      <vt:lpstr>    Statigraphic and environmental relevance of the Events Beds</vt:lpstr>
      <vt:lpstr>Conclusions</vt:lpstr>
      <vt:lpstr>Acknowledgments</vt:lpstr>
      <vt:lpstr>References</vt:lpstr>
    </vt:vector>
  </TitlesOfParts>
  <Company/>
  <LinksUpToDate>false</LinksUpToDate>
  <CharactersWithSpaces>94642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 comparative study of total organic carbon-δ13C isotope signatures in the Triassic–Jurassic transitional beds of the Central European Basin and western Tethys shelf seas</dc:title>
  <dc:creator>Martin Schobben, Julia Gravendyck, Franziska Mangels1, Ulrich Struck1, Robert Bussert, Wolfram M. Kürschner, Dieter Korn1, P. Martin Sander, Martin Aberhan1</dc:creator>
  <cp:lastModifiedBy>nicola</cp:lastModifiedBy>
  <cp:revision>2</cp:revision>
  <dcterms:created xsi:type="dcterms:W3CDTF">2018-12-08T12:42:00Z</dcterms:created>
  <dcterms:modified xsi:type="dcterms:W3CDTF">2018-12-08T12:42:00Z</dcterms:modified>
</cp:coreProperties>
</file>